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DFC" w:rsidRPr="00ED411D" w:rsidRDefault="00AA3DFC" w:rsidP="00ED411D">
      <w:pPr>
        <w:spacing w:after="0"/>
        <w:rPr>
          <w:color w:val="000000" w:themeColor="text1"/>
          <w:lang w:val="es-ES"/>
        </w:rPr>
      </w:pPr>
      <w:r w:rsidRPr="00ED411D">
        <w:rPr>
          <w:b/>
          <w:bCs/>
          <w:color w:val="000000" w:themeColor="text1"/>
          <w:u w:val="single"/>
          <w:lang w:val="es-ES"/>
        </w:rPr>
        <w:t>CARTA MODELO</w:t>
      </w:r>
    </w:p>
    <w:p w:rsidR="00ED411D" w:rsidRDefault="00ED411D" w:rsidP="00ED411D">
      <w:pPr>
        <w:shd w:val="clear" w:color="auto" w:fill="FFFFFF"/>
        <w:spacing w:after="0"/>
        <w:rPr>
          <w:color w:val="000000" w:themeColor="text1"/>
          <w:lang w:val="es-ES"/>
        </w:rPr>
      </w:pPr>
    </w:p>
    <w:p w:rsidR="00AA3DFC" w:rsidRPr="00ED411D" w:rsidRDefault="00ED411D" w:rsidP="00ED411D">
      <w:pPr>
        <w:shd w:val="clear" w:color="auto" w:fill="FFFFFF"/>
        <w:spacing w:after="0"/>
        <w:rPr>
          <w:color w:val="000000" w:themeColor="text1"/>
          <w:lang w:val="es-ES"/>
        </w:rPr>
      </w:pPr>
      <w:r w:rsidRPr="00ED411D">
        <w:rPr>
          <w:color w:val="000000" w:themeColor="text1"/>
          <w:lang w:val="es-ES"/>
        </w:rPr>
        <w:t>J</w:t>
      </w:r>
      <w:r w:rsidR="00AA3DFC" w:rsidRPr="00ED411D">
        <w:rPr>
          <w:color w:val="000000" w:themeColor="text1"/>
          <w:lang w:val="es-ES"/>
        </w:rPr>
        <w:t>ulio de 2013</w:t>
      </w:r>
    </w:p>
    <w:p w:rsidR="00ED411D" w:rsidRDefault="00ED411D" w:rsidP="00ED411D">
      <w:pPr>
        <w:autoSpaceDE w:val="0"/>
        <w:autoSpaceDN w:val="0"/>
        <w:spacing w:after="0"/>
        <w:rPr>
          <w:color w:val="000000" w:themeColor="text1"/>
          <w:lang w:val="es-ES"/>
        </w:rPr>
      </w:pPr>
    </w:p>
    <w:p w:rsidR="00AA3DFC" w:rsidRPr="00ED411D" w:rsidRDefault="00AA3DFC" w:rsidP="00ED411D">
      <w:pPr>
        <w:autoSpaceDE w:val="0"/>
        <w:autoSpaceDN w:val="0"/>
        <w:spacing w:after="0"/>
        <w:rPr>
          <w:color w:val="000000" w:themeColor="text1"/>
          <w:lang w:val="es-ES"/>
        </w:rPr>
      </w:pPr>
      <w:r w:rsidRPr="00ED411D">
        <w:rPr>
          <w:color w:val="000000" w:themeColor="text1"/>
          <w:lang w:val="es-ES"/>
        </w:rPr>
        <w:t xml:space="preserve">Su excelencia señor </w:t>
      </w:r>
      <w:proofErr w:type="spellStart"/>
      <w:r w:rsidRPr="00ED411D">
        <w:rPr>
          <w:color w:val="000000" w:themeColor="text1"/>
          <w:lang w:val="es-ES"/>
        </w:rPr>
        <w:t>Ban</w:t>
      </w:r>
      <w:proofErr w:type="spellEnd"/>
      <w:r w:rsidRPr="00ED411D">
        <w:rPr>
          <w:color w:val="000000" w:themeColor="text1"/>
          <w:lang w:val="es-ES"/>
        </w:rPr>
        <w:t xml:space="preserve"> Ki-</w:t>
      </w:r>
      <w:proofErr w:type="spellStart"/>
      <w:r w:rsidRPr="00ED411D">
        <w:rPr>
          <w:color w:val="000000" w:themeColor="text1"/>
          <w:lang w:val="es-ES"/>
        </w:rPr>
        <w:t>moon</w:t>
      </w:r>
      <w:proofErr w:type="spellEnd"/>
      <w:r w:rsidR="00ED411D" w:rsidRPr="00ED411D">
        <w:rPr>
          <w:color w:val="000000" w:themeColor="text1"/>
          <w:lang w:val="es-ES"/>
        </w:rPr>
        <w:br/>
      </w:r>
      <w:r w:rsidRPr="00ED411D">
        <w:rPr>
          <w:color w:val="000000" w:themeColor="text1"/>
          <w:lang w:val="es-ES"/>
        </w:rPr>
        <w:t>Secretario General de las Naciones Unidas</w:t>
      </w:r>
      <w:r w:rsidR="00ED411D" w:rsidRPr="00ED411D">
        <w:rPr>
          <w:color w:val="000000" w:themeColor="text1"/>
          <w:lang w:val="es-ES"/>
        </w:rPr>
        <w:br/>
      </w:r>
      <w:proofErr w:type="spellStart"/>
      <w:r w:rsidRPr="00ED411D">
        <w:rPr>
          <w:color w:val="000000" w:themeColor="text1"/>
          <w:lang w:val="es-ES"/>
        </w:rPr>
        <w:t>First</w:t>
      </w:r>
      <w:proofErr w:type="spellEnd"/>
      <w:r w:rsidRPr="00ED411D">
        <w:rPr>
          <w:color w:val="000000" w:themeColor="text1"/>
          <w:lang w:val="es-ES"/>
        </w:rPr>
        <w:t xml:space="preserve"> </w:t>
      </w:r>
      <w:proofErr w:type="spellStart"/>
      <w:r w:rsidRPr="00ED411D">
        <w:rPr>
          <w:color w:val="000000" w:themeColor="text1"/>
          <w:lang w:val="es-ES"/>
        </w:rPr>
        <w:t>Avenue</w:t>
      </w:r>
      <w:proofErr w:type="spellEnd"/>
      <w:r w:rsidRPr="00ED411D">
        <w:rPr>
          <w:color w:val="000000" w:themeColor="text1"/>
          <w:lang w:val="es-ES"/>
        </w:rPr>
        <w:t xml:space="preserve"> at 46th Street</w:t>
      </w:r>
      <w:r w:rsidR="00ED411D" w:rsidRPr="00ED411D">
        <w:rPr>
          <w:color w:val="000000" w:themeColor="text1"/>
          <w:lang w:val="es-ES"/>
        </w:rPr>
        <w:br/>
      </w:r>
      <w:r w:rsidRPr="00ED411D">
        <w:rPr>
          <w:color w:val="000000" w:themeColor="text1"/>
          <w:lang w:val="es-ES"/>
        </w:rPr>
        <w:t>Nueva York 10017</w:t>
      </w:r>
      <w:r w:rsidR="00ED411D" w:rsidRPr="00ED411D">
        <w:rPr>
          <w:color w:val="000000" w:themeColor="text1"/>
          <w:lang w:val="es-ES"/>
        </w:rPr>
        <w:br/>
      </w:r>
      <w:r w:rsidRPr="00ED411D">
        <w:rPr>
          <w:color w:val="000000" w:themeColor="text1"/>
          <w:lang w:val="es-ES"/>
        </w:rPr>
        <w:t>EEUU</w:t>
      </w:r>
    </w:p>
    <w:p w:rsidR="00ED411D" w:rsidRDefault="00ED411D" w:rsidP="00ED411D">
      <w:pPr>
        <w:spacing w:after="0"/>
        <w:rPr>
          <w:color w:val="000000" w:themeColor="text1"/>
          <w:lang w:val="es-ES"/>
        </w:rPr>
      </w:pPr>
    </w:p>
    <w:p w:rsidR="00AA3DFC" w:rsidRPr="00ED411D" w:rsidRDefault="00AA3DFC" w:rsidP="00ED411D">
      <w:pPr>
        <w:spacing w:after="0"/>
        <w:rPr>
          <w:color w:val="000000" w:themeColor="text1"/>
          <w:lang w:val="es-ES"/>
        </w:rPr>
      </w:pPr>
      <w:r w:rsidRPr="00ED411D">
        <w:rPr>
          <w:color w:val="000000" w:themeColor="text1"/>
          <w:lang w:val="es-ES"/>
        </w:rPr>
        <w:t>Estimado Secretario General,</w:t>
      </w:r>
    </w:p>
    <w:p w:rsidR="00ED411D" w:rsidRDefault="00ED411D" w:rsidP="00ED411D">
      <w:pPr>
        <w:shd w:val="clear" w:color="auto" w:fill="FFFFFF"/>
        <w:spacing w:after="0"/>
        <w:rPr>
          <w:color w:val="000000" w:themeColor="text1"/>
          <w:lang w:val="es-ES"/>
        </w:rPr>
      </w:pPr>
    </w:p>
    <w:p w:rsidR="00AA3DFC" w:rsidRPr="00ED411D" w:rsidRDefault="00AA3DFC" w:rsidP="00ED411D">
      <w:pPr>
        <w:shd w:val="clear" w:color="auto" w:fill="FFFFFF"/>
        <w:spacing w:after="0"/>
        <w:rPr>
          <w:color w:val="000000" w:themeColor="text1"/>
          <w:lang w:val="es-ES"/>
        </w:rPr>
      </w:pPr>
      <w:r w:rsidRPr="00ED411D">
        <w:rPr>
          <w:color w:val="000000" w:themeColor="text1"/>
          <w:lang w:val="es-ES"/>
        </w:rPr>
        <w:t>En esta última fase de elaboración de su informe “</w:t>
      </w:r>
      <w:r w:rsidRPr="00ED411D">
        <w:rPr>
          <w:b/>
          <w:bCs/>
          <w:color w:val="000000" w:themeColor="text1"/>
          <w:lang w:val="es-ES"/>
        </w:rPr>
        <w:t>Acelerando el progreso hacia los Objetivos de Desarrollo del Milenio y avanzando la agenda de desarrollo de NNUU posterior a 2015</w:t>
      </w:r>
      <w:r w:rsidRPr="00ED411D">
        <w:rPr>
          <w:color w:val="000000" w:themeColor="text1"/>
          <w:lang w:val="es-ES"/>
        </w:rPr>
        <w:t xml:space="preserve">”, queremos compartir las prioridades de quienes defendemos el derecho  a la educación a lo largo de la vida como aspecto clave para la justicia social y ambiental. Conociendo su compromiso que se expresa desde la Iniciativa Global </w:t>
      </w:r>
      <w:proofErr w:type="spellStart"/>
      <w:r w:rsidRPr="00ED411D">
        <w:rPr>
          <w:i/>
          <w:iCs/>
          <w:color w:val="000000" w:themeColor="text1"/>
          <w:lang w:val="es-ES"/>
        </w:rPr>
        <w:t>Education</w:t>
      </w:r>
      <w:proofErr w:type="spellEnd"/>
      <w:r w:rsidRPr="00ED411D">
        <w:rPr>
          <w:i/>
          <w:iCs/>
          <w:color w:val="000000" w:themeColor="text1"/>
          <w:lang w:val="es-ES"/>
        </w:rPr>
        <w:t xml:space="preserve"> </w:t>
      </w:r>
      <w:proofErr w:type="spellStart"/>
      <w:r w:rsidRPr="00ED411D">
        <w:rPr>
          <w:i/>
          <w:iCs/>
          <w:color w:val="000000" w:themeColor="text1"/>
          <w:lang w:val="es-ES"/>
        </w:rPr>
        <w:t>First</w:t>
      </w:r>
      <w:proofErr w:type="spellEnd"/>
      <w:r w:rsidRPr="00ED411D">
        <w:rPr>
          <w:i/>
          <w:iCs/>
          <w:color w:val="000000" w:themeColor="text1"/>
          <w:lang w:val="es-ES"/>
        </w:rPr>
        <w:t>,</w:t>
      </w:r>
      <w:r w:rsidRPr="00ED411D">
        <w:rPr>
          <w:color w:val="000000" w:themeColor="text1"/>
          <w:lang w:val="es-ES"/>
        </w:rPr>
        <w:t xml:space="preserve"> tenemos la seguridad que el derecho humano a la educación tendrá un lugar de destaque en su Informe final.  </w:t>
      </w:r>
    </w:p>
    <w:p w:rsidR="00AA3DFC" w:rsidRPr="00ED411D" w:rsidRDefault="00AA3DFC" w:rsidP="00ED411D">
      <w:pPr>
        <w:shd w:val="clear" w:color="auto" w:fill="FFFFFF"/>
        <w:spacing w:after="0"/>
        <w:rPr>
          <w:color w:val="000000" w:themeColor="text1"/>
          <w:lang w:val="es-ES"/>
        </w:rPr>
      </w:pPr>
    </w:p>
    <w:p w:rsidR="00AA3DFC" w:rsidRPr="00ED411D" w:rsidRDefault="00AA3DFC" w:rsidP="00ED411D">
      <w:pPr>
        <w:shd w:val="clear" w:color="auto" w:fill="FFFFFF"/>
        <w:spacing w:after="0"/>
        <w:rPr>
          <w:color w:val="000000" w:themeColor="text1"/>
          <w:lang w:val="es-ES"/>
        </w:rPr>
      </w:pPr>
      <w:r w:rsidRPr="00ED411D">
        <w:rPr>
          <w:color w:val="000000" w:themeColor="text1"/>
          <w:lang w:val="es-ES"/>
        </w:rPr>
        <w:t xml:space="preserve">En la actualidad, existen 780 millones de personas analfabetas, dos tercios de las cuales son mujeres; 51 millones de niños y niñas sin escolarizar; 240 millones de jóvenes que han finalizado 4 años de escuela y no saben leer, escribir o contar. Esta realidad, junto al contexto actual de crisis múltiples hace más urgente que nunca la reivindicación del carácter de derecho humano fundamental de la educación, así como las acciones concretas  e </w:t>
      </w:r>
      <w:proofErr w:type="spellStart"/>
      <w:r w:rsidRPr="00ED411D">
        <w:rPr>
          <w:color w:val="000000" w:themeColor="text1"/>
          <w:lang w:val="es-ES"/>
        </w:rPr>
        <w:t>imediatas</w:t>
      </w:r>
      <w:proofErr w:type="spellEnd"/>
      <w:r w:rsidRPr="00ED411D">
        <w:rPr>
          <w:color w:val="000000" w:themeColor="text1"/>
          <w:lang w:val="es-ES"/>
        </w:rPr>
        <w:t xml:space="preserve"> para garantizar este derecho. Si se trata de “no dejar a nadie atrás”, la educación y el aprendizaje a lo largo de la vida son aspectos insoslayables, pues representan la única manera de ofrecer una oportunidad real para que las personas puedan exigir sus derechos y ejercitar su ciudadanía de forma activa. </w:t>
      </w:r>
    </w:p>
    <w:p w:rsidR="00AA3DFC" w:rsidRPr="00ED411D" w:rsidRDefault="00AA3DFC" w:rsidP="00ED411D">
      <w:pPr>
        <w:shd w:val="clear" w:color="auto" w:fill="FFFFFF"/>
        <w:spacing w:after="0"/>
        <w:rPr>
          <w:color w:val="000000" w:themeColor="text1"/>
          <w:lang w:val="es-ES"/>
        </w:rPr>
      </w:pPr>
      <w:r w:rsidRPr="00ED411D">
        <w:rPr>
          <w:color w:val="000000" w:themeColor="text1"/>
          <w:lang w:val="es-ES"/>
        </w:rPr>
        <w:t> </w:t>
      </w:r>
    </w:p>
    <w:p w:rsidR="00AA3DFC" w:rsidRPr="00ED411D" w:rsidRDefault="00AA3DFC" w:rsidP="00ED411D">
      <w:pPr>
        <w:shd w:val="clear" w:color="auto" w:fill="FFFFFF"/>
        <w:spacing w:after="0"/>
        <w:rPr>
          <w:color w:val="000000" w:themeColor="text1"/>
          <w:lang w:val="es-ES"/>
        </w:rPr>
      </w:pPr>
      <w:r w:rsidRPr="00ED411D">
        <w:rPr>
          <w:color w:val="000000" w:themeColor="text1"/>
          <w:lang w:val="es-ES"/>
        </w:rPr>
        <w:t xml:space="preserve">La Educación (más allá de lo formal) debe mantener un enfoque holístico, integrador y que contribuya a la eliminación de desigualdades y discriminaciones. Se han de superar y evitar visiones solamente instrumentalistas que reducen la educación al servicio del mercado y la despojan de su función transformadora y crítica. Se debe preservar el carácter de bien público de la educación, su necesario carácter inclusivo, su gratuidad y su calidad. Para todo ello es necesario que cuente con presupuesto suficiente. </w:t>
      </w:r>
    </w:p>
    <w:p w:rsidR="00AA3DFC" w:rsidRPr="00ED411D" w:rsidRDefault="00AA3DFC" w:rsidP="00ED411D">
      <w:pPr>
        <w:shd w:val="clear" w:color="auto" w:fill="FFFFFF"/>
        <w:spacing w:after="0"/>
        <w:rPr>
          <w:color w:val="000000" w:themeColor="text1"/>
          <w:lang w:val="es-ES"/>
        </w:rPr>
      </w:pPr>
      <w:r w:rsidRPr="00ED411D">
        <w:rPr>
          <w:color w:val="000000" w:themeColor="text1"/>
          <w:lang w:val="es-ES"/>
        </w:rPr>
        <w:t> </w:t>
      </w:r>
    </w:p>
    <w:p w:rsidR="00AA3DFC" w:rsidRPr="00ED411D" w:rsidRDefault="00AA3DFC" w:rsidP="00ED411D">
      <w:pPr>
        <w:shd w:val="clear" w:color="auto" w:fill="FFFFFF"/>
        <w:spacing w:after="0"/>
        <w:rPr>
          <w:color w:val="000000" w:themeColor="text1"/>
          <w:lang w:val="es-ES"/>
        </w:rPr>
      </w:pPr>
      <w:r w:rsidRPr="00ED411D">
        <w:rPr>
          <w:color w:val="000000" w:themeColor="text1"/>
          <w:lang w:val="es-ES"/>
        </w:rPr>
        <w:t xml:space="preserve">Una función clave del aprendizaje de personas adultas es ayudar a las personas a comprender e influir sobre los cambios económicos que les afectan. Esto es una necesidad absoluta si queremos conseguir un enfoque de desarrollo sustentable integrado, con cohesión y coherencia. </w:t>
      </w:r>
    </w:p>
    <w:p w:rsidR="00AA3DFC" w:rsidRPr="00ED411D" w:rsidRDefault="00AA3DFC" w:rsidP="00ED411D">
      <w:pPr>
        <w:shd w:val="clear" w:color="auto" w:fill="FFFFFF"/>
        <w:spacing w:after="0"/>
        <w:rPr>
          <w:color w:val="000000" w:themeColor="text1"/>
          <w:lang w:val="es-ES"/>
        </w:rPr>
      </w:pPr>
      <w:r w:rsidRPr="00ED411D">
        <w:rPr>
          <w:color w:val="000000" w:themeColor="text1"/>
          <w:lang w:val="es-ES"/>
        </w:rPr>
        <w:t> </w:t>
      </w:r>
    </w:p>
    <w:p w:rsidR="00AA3DFC" w:rsidRPr="00ED411D" w:rsidRDefault="00AA3DFC" w:rsidP="00ED411D">
      <w:pPr>
        <w:shd w:val="clear" w:color="auto" w:fill="FFFFFF"/>
        <w:spacing w:after="0"/>
        <w:rPr>
          <w:color w:val="000000" w:themeColor="text1"/>
          <w:lang w:val="es-ES"/>
        </w:rPr>
      </w:pPr>
      <w:r w:rsidRPr="00ED411D">
        <w:rPr>
          <w:color w:val="000000" w:themeColor="text1"/>
          <w:lang w:val="es-ES"/>
        </w:rPr>
        <w:t xml:space="preserve">Así mismo, creemos necesario que las metas sean lo suficiente ambiciosas y amplias para que no reduzcan el aprendizaje a la </w:t>
      </w:r>
      <w:proofErr w:type="spellStart"/>
      <w:r w:rsidRPr="00ED411D">
        <w:rPr>
          <w:color w:val="000000" w:themeColor="text1"/>
          <w:lang w:val="es-ES"/>
        </w:rPr>
        <w:t>lecto</w:t>
      </w:r>
      <w:proofErr w:type="spellEnd"/>
      <w:r w:rsidRPr="00ED411D">
        <w:rPr>
          <w:color w:val="000000" w:themeColor="text1"/>
          <w:lang w:val="es-ES"/>
        </w:rPr>
        <w:t xml:space="preserve"> escritura y el cálculo. Los indicadores deben superar el reduccionismo de los Objetivos de Desarrollo del Milenio en vigor e ir más allá de la educación primaria. En este sentido, esperamos que los nuevos indicadores hagan referencia a </w:t>
      </w:r>
      <w:r w:rsidRPr="00ED411D">
        <w:rPr>
          <w:color w:val="000000" w:themeColor="text1"/>
          <w:lang w:val="es-ES"/>
        </w:rPr>
        <w:lastRenderedPageBreak/>
        <w:t>dimensiones fundamentales de ese derecho, tal como la gratuidad de la educación, un nivel mínimo de financiación, la existencia de suficientes maestros y maestras con formación y la superación de todas formas de discriminación en y desde la educación. Asimismo, es imprescindible que vuelva a tener presencia entre los indicadores la educación de personas jóvenes y adultas, lo que incluye la superación del analfabetismo de esos sujetos de derecho. Puestos así, los indicadores  reflejarían  los fines más importantes de la educación: el desarrollo pleno de la personalidad humana, su preparación para el trabajo digno, para el ejercicio de la ciudadanía, para la convivencia pacífica, tal como apunta la Declaración Universal de los Derechos Humanos</w:t>
      </w:r>
    </w:p>
    <w:p w:rsidR="00AA3DFC" w:rsidRPr="00ED411D" w:rsidRDefault="00AA3DFC" w:rsidP="00ED411D">
      <w:pPr>
        <w:shd w:val="clear" w:color="auto" w:fill="FFFFFF"/>
        <w:spacing w:after="0"/>
        <w:rPr>
          <w:color w:val="000000" w:themeColor="text1"/>
          <w:lang w:val="es-ES"/>
        </w:rPr>
      </w:pPr>
      <w:r w:rsidRPr="00ED411D">
        <w:rPr>
          <w:color w:val="000000" w:themeColor="text1"/>
          <w:lang w:val="es-ES"/>
        </w:rPr>
        <w:t> </w:t>
      </w:r>
    </w:p>
    <w:p w:rsidR="00AA3DFC" w:rsidRPr="00ED411D" w:rsidRDefault="00AA3DFC" w:rsidP="00ED411D">
      <w:pPr>
        <w:shd w:val="clear" w:color="auto" w:fill="FFFFFF"/>
        <w:spacing w:after="0"/>
        <w:rPr>
          <w:color w:val="000000" w:themeColor="text1"/>
          <w:lang w:val="es-ES"/>
        </w:rPr>
      </w:pPr>
      <w:r w:rsidRPr="00ED411D">
        <w:rPr>
          <w:color w:val="000000" w:themeColor="text1"/>
          <w:lang w:val="es-ES"/>
        </w:rPr>
        <w:t xml:space="preserve">Estamos de acuerdo que erradicar la pobreza extrema y el hambre en 2030 es un imperativo ético para todas las naciones del mundo y para la Comunidad Internacional y el Sistema de Naciones Unidas. Pero esto no es posible sin ir a las causas profundas de estas lacras así como de la violencia y las desigualdades. Así, el horizonte de la Agenda de Desarrollo post 2015 debe ser la realización de todos los derechos humanos, la justica y la dignidad. Para conseguirlo, la plena realización del derecho a la educación, el aprendizaje a lo largo de la vida y la educación </w:t>
      </w:r>
      <w:bookmarkStart w:id="0" w:name="_GoBack"/>
      <w:bookmarkEnd w:id="0"/>
      <w:r w:rsidRPr="00ED411D">
        <w:rPr>
          <w:color w:val="000000" w:themeColor="text1"/>
          <w:lang w:val="es-ES"/>
        </w:rPr>
        <w:t xml:space="preserve">de personas adultas, incluida la alfabetización de mujeres y niñas, es esencial. </w:t>
      </w:r>
    </w:p>
    <w:p w:rsidR="00AA3DFC" w:rsidRPr="00ED411D" w:rsidRDefault="00AA3DFC" w:rsidP="00ED411D">
      <w:pPr>
        <w:shd w:val="clear" w:color="auto" w:fill="FFFFFF"/>
        <w:spacing w:after="0"/>
        <w:rPr>
          <w:color w:val="000000" w:themeColor="text1"/>
          <w:lang w:val="es-ES"/>
        </w:rPr>
      </w:pPr>
      <w:r w:rsidRPr="00ED411D">
        <w:rPr>
          <w:color w:val="000000" w:themeColor="text1"/>
          <w:lang w:val="es-ES"/>
        </w:rPr>
        <w:t> </w:t>
      </w:r>
    </w:p>
    <w:p w:rsidR="00AA3DFC" w:rsidRPr="00ED411D" w:rsidRDefault="00AA3DFC" w:rsidP="00ED411D">
      <w:pPr>
        <w:shd w:val="clear" w:color="auto" w:fill="FFFFFF"/>
        <w:spacing w:after="0"/>
        <w:rPr>
          <w:color w:val="000000" w:themeColor="text1"/>
          <w:lang w:val="es-ES"/>
        </w:rPr>
      </w:pPr>
      <w:r w:rsidRPr="00ED411D">
        <w:rPr>
          <w:color w:val="000000" w:themeColor="text1"/>
          <w:lang w:val="es-ES"/>
        </w:rPr>
        <w:t xml:space="preserve">Por tanto, QUEREMOS sugerir las siguientes recomendaciones para que sean incluidas </w:t>
      </w:r>
    </w:p>
    <w:p w:rsidR="00AA3DFC" w:rsidRPr="00ED411D" w:rsidRDefault="00AA3DFC" w:rsidP="00ED411D">
      <w:pPr>
        <w:shd w:val="clear" w:color="auto" w:fill="FFFFFF"/>
        <w:spacing w:after="0"/>
        <w:rPr>
          <w:color w:val="000000" w:themeColor="text1"/>
          <w:lang w:val="es-ES"/>
        </w:rPr>
      </w:pPr>
      <w:r w:rsidRPr="00ED411D">
        <w:rPr>
          <w:color w:val="000000" w:themeColor="text1"/>
          <w:lang w:val="es-ES"/>
        </w:rPr>
        <w:t> </w:t>
      </w:r>
    </w:p>
    <w:p w:rsidR="00AA3DFC" w:rsidRPr="00ED411D" w:rsidRDefault="00AA3DFC" w:rsidP="00ED411D">
      <w:pPr>
        <w:spacing w:after="0"/>
        <w:rPr>
          <w:color w:val="000000" w:themeColor="text1"/>
          <w:lang w:val="es-ES"/>
        </w:rPr>
      </w:pPr>
      <w:r w:rsidRPr="00ED411D">
        <w:rPr>
          <w:b/>
          <w:bCs/>
          <w:color w:val="000000" w:themeColor="text1"/>
          <w:lang w:val="es-ES"/>
        </w:rPr>
        <w:t>1. El derecho a la educación y al aprendizaje a lo largo de toda la vida, debe ser reconocido.</w:t>
      </w:r>
      <w:r w:rsidRPr="00ED411D">
        <w:rPr>
          <w:color w:val="000000" w:themeColor="text1"/>
          <w:lang w:val="es-ES"/>
        </w:rPr>
        <w:t xml:space="preserve"> Apostamos en políticas de reconocimiento, justicia e inclusión para el desarrollo de una vida plena de todas las personas. </w:t>
      </w:r>
      <w:r w:rsidRPr="00ED411D">
        <w:rPr>
          <w:b/>
          <w:bCs/>
          <w:color w:val="000000" w:themeColor="text1"/>
          <w:lang w:val="es-ES"/>
        </w:rPr>
        <w:t>Los Estados están obligados a asegurar este derecho para todas las personas de forma igualitaria y sin discriminación por raza, etnia, género, edad, sexo y posición económica.</w:t>
      </w:r>
      <w:r w:rsidRPr="00ED411D">
        <w:rPr>
          <w:color w:val="000000" w:themeColor="text1"/>
          <w:lang w:val="es-ES"/>
        </w:rPr>
        <w:t xml:space="preserve"> La privatización que concibe a la educación como mercancía debe ser erradicada, así como las condiciones macroeconómicas impuestas que socavan la inversión en educación. Los mecanismos internacionales de monitoreo y seguimiento de los compromisos asumidos en la CONFINTEA VI son esenciales para pensar el Post-2015.</w:t>
      </w:r>
    </w:p>
    <w:p w:rsidR="00ED411D" w:rsidRDefault="00ED411D" w:rsidP="00ED411D">
      <w:pPr>
        <w:spacing w:after="0"/>
        <w:rPr>
          <w:b/>
          <w:bCs/>
          <w:color w:val="000000" w:themeColor="text1"/>
          <w:lang w:val="es-ES"/>
        </w:rPr>
      </w:pPr>
    </w:p>
    <w:p w:rsidR="00AA3DFC" w:rsidRPr="00ED411D" w:rsidRDefault="00AA3DFC" w:rsidP="00ED411D">
      <w:pPr>
        <w:spacing w:after="0"/>
        <w:rPr>
          <w:color w:val="000000" w:themeColor="text1"/>
          <w:lang w:val="es-ES"/>
        </w:rPr>
      </w:pPr>
      <w:r w:rsidRPr="00ED411D">
        <w:rPr>
          <w:b/>
          <w:bCs/>
          <w:color w:val="000000" w:themeColor="text1"/>
          <w:lang w:val="es-ES"/>
        </w:rPr>
        <w:t>2. La Educación de Personas Jóvenes y Adultas (EPJA) es esencial para la superación de la pobreza y de la violencia (de género y generacional); para lograr mayor igualdad y para abordar la crisis mundial alimentaria, energética, ambiental y financiera, para la paz.</w:t>
      </w:r>
      <w:r w:rsidRPr="00ED411D">
        <w:rPr>
          <w:color w:val="000000" w:themeColor="text1"/>
          <w:lang w:val="es-ES"/>
        </w:rPr>
        <w:t xml:space="preserve"> La violencia silenciosa de la desigualdad económica, social y cultural es inaceptable. La igualdad de oportunidades debe ser una preocupación central en la reorientación del aprendizaje y la educación de personas jóvenes y adultas, con énfasis en la educación de mujeres.</w:t>
      </w:r>
    </w:p>
    <w:p w:rsidR="00ED411D" w:rsidRDefault="00ED411D" w:rsidP="00ED411D">
      <w:pPr>
        <w:spacing w:after="0"/>
        <w:rPr>
          <w:b/>
          <w:bCs/>
          <w:color w:val="000000" w:themeColor="text1"/>
          <w:lang w:val="es-ES"/>
        </w:rPr>
      </w:pPr>
    </w:p>
    <w:p w:rsidR="00AA3DFC" w:rsidRPr="00ED411D" w:rsidRDefault="00AA3DFC" w:rsidP="00ED411D">
      <w:pPr>
        <w:spacing w:after="0"/>
        <w:rPr>
          <w:color w:val="000000" w:themeColor="text1"/>
          <w:lang w:val="es-ES"/>
        </w:rPr>
      </w:pPr>
      <w:r w:rsidRPr="00ED411D">
        <w:rPr>
          <w:b/>
          <w:bCs/>
          <w:color w:val="000000" w:themeColor="text1"/>
          <w:lang w:val="es-ES"/>
        </w:rPr>
        <w:t>3. La alfabetización y el aprendizaje a lo largo de toda la vida son elementos esenciales de los Objetivos de Desarrollo del Milenio que deben enmarcarse en el derecho a la educación y articularse a otras acciones y políticas intersectoriales.</w:t>
      </w:r>
      <w:r w:rsidRPr="00ED411D">
        <w:rPr>
          <w:color w:val="000000" w:themeColor="text1"/>
          <w:lang w:val="es-ES"/>
        </w:rPr>
        <w:t xml:space="preserve"> La educación de personas jóvenes y adultas, incluyendo la alfabetización, debe ser claramente priorizada en los marcos internacionales y en las políticas estatales nacionales. Los Estados y las agencias internacionales deben demostrar una clara voluntad política e incrementar la asignación de recursos a la EPJA, comprometerse con la formación de docentes y profesionales calificados/as en este campo y asegurar las condiciones de trabajo apropiadas.</w:t>
      </w:r>
    </w:p>
    <w:p w:rsidR="00ED411D" w:rsidRDefault="00ED411D" w:rsidP="00ED411D">
      <w:pPr>
        <w:spacing w:after="0"/>
        <w:rPr>
          <w:b/>
          <w:bCs/>
          <w:color w:val="000000" w:themeColor="text1"/>
          <w:lang w:val="es-ES"/>
        </w:rPr>
      </w:pPr>
    </w:p>
    <w:p w:rsidR="00AA3DFC" w:rsidRPr="00ED411D" w:rsidRDefault="00AA3DFC" w:rsidP="00ED411D">
      <w:pPr>
        <w:spacing w:after="0"/>
        <w:rPr>
          <w:color w:val="000000" w:themeColor="text1"/>
          <w:lang w:val="es-ES"/>
        </w:rPr>
      </w:pPr>
      <w:r w:rsidRPr="00ED411D">
        <w:rPr>
          <w:b/>
          <w:bCs/>
          <w:color w:val="000000" w:themeColor="text1"/>
          <w:lang w:val="es-ES"/>
        </w:rPr>
        <w:lastRenderedPageBreak/>
        <w:t>4. Es fundamental apostar por enfoques educativos que liguen educación con transformación para la justicia social y ambiental.</w:t>
      </w:r>
      <w:r w:rsidRPr="00ED411D">
        <w:rPr>
          <w:color w:val="000000" w:themeColor="text1"/>
          <w:lang w:val="es-ES"/>
        </w:rPr>
        <w:t xml:space="preserve"> Así, es relevante la Educación Popular, que con su metodología, su visión de ciudadanía, de articulación del aprendizaje con el entorno, de empoderamiento de los actores sociales, ha dado vitalidad a la alfabetización, a la EPJA, a la educación ligada a la vida y a otro tipo de desarrollo con perspectiva sustentable e intercultural.</w:t>
      </w:r>
    </w:p>
    <w:p w:rsidR="00ED411D" w:rsidRDefault="00ED411D" w:rsidP="00ED411D">
      <w:pPr>
        <w:spacing w:after="0"/>
        <w:rPr>
          <w:color w:val="000000" w:themeColor="text1"/>
          <w:lang w:val="es-ES"/>
        </w:rPr>
      </w:pPr>
    </w:p>
    <w:p w:rsidR="00AA3DFC" w:rsidRPr="00ED411D" w:rsidRDefault="00AA3DFC" w:rsidP="00ED411D">
      <w:pPr>
        <w:spacing w:after="0"/>
        <w:rPr>
          <w:color w:val="000000" w:themeColor="text1"/>
          <w:lang w:val="es-ES"/>
        </w:rPr>
      </w:pPr>
      <w:r w:rsidRPr="00ED411D">
        <w:rPr>
          <w:color w:val="000000" w:themeColor="text1"/>
          <w:lang w:val="es-ES"/>
        </w:rPr>
        <w:t>5. Promovamos: la interculturalidad, la igualdad, la equidad de género, el nexo entre ciudadanía y democracia, el cuidado y la reacción armónica con la naturaleza, la eliminación de toda forma de discriminación, la promoción de la justicia y la construcción de una cultura de paz y de resolución no violenta de los conflictos.</w:t>
      </w:r>
    </w:p>
    <w:p w:rsidR="00ED411D" w:rsidRDefault="00ED411D" w:rsidP="00ED411D">
      <w:pPr>
        <w:spacing w:after="0"/>
        <w:rPr>
          <w:b/>
          <w:bCs/>
          <w:color w:val="000000" w:themeColor="text1"/>
          <w:lang w:val="es-ES"/>
        </w:rPr>
      </w:pPr>
    </w:p>
    <w:p w:rsidR="00AA3DFC" w:rsidRPr="00ED411D" w:rsidRDefault="00AA3DFC" w:rsidP="00ED411D">
      <w:pPr>
        <w:spacing w:after="0"/>
        <w:rPr>
          <w:color w:val="000000" w:themeColor="text1"/>
          <w:lang w:val="es-ES"/>
        </w:rPr>
      </w:pPr>
      <w:r w:rsidRPr="00ED411D">
        <w:rPr>
          <w:b/>
          <w:bCs/>
          <w:color w:val="000000" w:themeColor="text1"/>
          <w:lang w:val="es-ES"/>
        </w:rPr>
        <w:t>Es necesaria la ACCIÓN: precisamos tener marcos legales y de políticas, estructuras y mecanismos de gobernabilidad, como también mecanismos internacionales de monitoreo y seguimiento de los compromisos asumidos, claros y adecuados para garantizar el derecho a la Educación de Todas las Personas.</w:t>
      </w:r>
    </w:p>
    <w:p w:rsidR="00ED411D" w:rsidRDefault="00ED411D" w:rsidP="00ED411D">
      <w:pPr>
        <w:spacing w:after="0"/>
        <w:rPr>
          <w:color w:val="000000" w:themeColor="text1"/>
          <w:lang w:val="es-ES"/>
        </w:rPr>
      </w:pPr>
    </w:p>
    <w:p w:rsidR="00AA3DFC" w:rsidRPr="00ED411D" w:rsidRDefault="00AA3DFC" w:rsidP="00ED411D">
      <w:pPr>
        <w:spacing w:after="0"/>
        <w:rPr>
          <w:color w:val="000000" w:themeColor="text1"/>
          <w:lang w:val="es-ES"/>
        </w:rPr>
      </w:pPr>
      <w:r w:rsidRPr="00ED411D">
        <w:rPr>
          <w:color w:val="000000" w:themeColor="text1"/>
          <w:lang w:val="es-ES"/>
        </w:rPr>
        <w:t xml:space="preserve">Agradeciendo por adelantado por su consideración, le saludamos muy cordialmente, </w:t>
      </w:r>
    </w:p>
    <w:p w:rsidR="00ED411D" w:rsidRPr="00ED411D" w:rsidRDefault="00ED411D" w:rsidP="00ED411D">
      <w:pPr>
        <w:spacing w:after="0"/>
        <w:rPr>
          <w:b/>
          <w:bCs/>
          <w:color w:val="000000" w:themeColor="text1"/>
          <w:lang w:val="es-ES"/>
        </w:rPr>
      </w:pPr>
    </w:p>
    <w:p w:rsidR="009F25B4" w:rsidRPr="00ED411D" w:rsidRDefault="00AA3DFC" w:rsidP="00ED411D">
      <w:pPr>
        <w:spacing w:after="0"/>
        <w:rPr>
          <w:color w:val="000000" w:themeColor="text1"/>
        </w:rPr>
      </w:pPr>
      <w:r w:rsidRPr="00ED411D">
        <w:rPr>
          <w:b/>
          <w:bCs/>
          <w:color w:val="000000" w:themeColor="text1"/>
        </w:rPr>
        <w:t>Firma</w:t>
      </w:r>
      <w:proofErr w:type="gramStart"/>
      <w:r w:rsidRPr="00ED411D">
        <w:rPr>
          <w:b/>
          <w:bCs/>
          <w:color w:val="000000" w:themeColor="text1"/>
        </w:rPr>
        <w:t>:</w:t>
      </w:r>
      <w:proofErr w:type="gramEnd"/>
      <w:r w:rsidR="00ED411D">
        <w:rPr>
          <w:b/>
          <w:bCs/>
          <w:color w:val="000000" w:themeColor="text1"/>
        </w:rPr>
        <w:br/>
      </w:r>
      <w:proofErr w:type="spellStart"/>
      <w:r w:rsidRPr="00ED411D">
        <w:rPr>
          <w:b/>
          <w:bCs/>
          <w:color w:val="000000" w:themeColor="text1"/>
        </w:rPr>
        <w:t>Organización</w:t>
      </w:r>
      <w:proofErr w:type="spellEnd"/>
      <w:r w:rsidRPr="00ED411D">
        <w:rPr>
          <w:b/>
          <w:bCs/>
          <w:color w:val="000000" w:themeColor="text1"/>
        </w:rPr>
        <w:t>:</w:t>
      </w:r>
      <w:r w:rsidR="00ED411D">
        <w:rPr>
          <w:b/>
          <w:bCs/>
          <w:color w:val="000000" w:themeColor="text1"/>
        </w:rPr>
        <w:br/>
      </w:r>
      <w:proofErr w:type="spellStart"/>
      <w:r w:rsidRPr="00ED411D">
        <w:rPr>
          <w:b/>
          <w:bCs/>
          <w:color w:val="000000" w:themeColor="text1"/>
        </w:rPr>
        <w:t>Fecha</w:t>
      </w:r>
      <w:proofErr w:type="spellEnd"/>
      <w:r w:rsidRPr="00ED411D">
        <w:rPr>
          <w:b/>
          <w:bCs/>
          <w:color w:val="000000" w:themeColor="text1"/>
        </w:rPr>
        <w:t>:</w:t>
      </w:r>
    </w:p>
    <w:sectPr w:rsidR="009F25B4" w:rsidRPr="00ED41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001"/>
    <w:rsid w:val="00000511"/>
    <w:rsid w:val="000038FC"/>
    <w:rsid w:val="00004984"/>
    <w:rsid w:val="00004CE8"/>
    <w:rsid w:val="000051EF"/>
    <w:rsid w:val="00007F14"/>
    <w:rsid w:val="000122E2"/>
    <w:rsid w:val="00012E75"/>
    <w:rsid w:val="00017A31"/>
    <w:rsid w:val="00017E5F"/>
    <w:rsid w:val="00022DFA"/>
    <w:rsid w:val="00023174"/>
    <w:rsid w:val="00024292"/>
    <w:rsid w:val="00024455"/>
    <w:rsid w:val="00026086"/>
    <w:rsid w:val="00040A20"/>
    <w:rsid w:val="00042AC7"/>
    <w:rsid w:val="00043049"/>
    <w:rsid w:val="000439FF"/>
    <w:rsid w:val="00044D8D"/>
    <w:rsid w:val="00045F31"/>
    <w:rsid w:val="00046EC4"/>
    <w:rsid w:val="0004705E"/>
    <w:rsid w:val="0004734C"/>
    <w:rsid w:val="00053394"/>
    <w:rsid w:val="000540DE"/>
    <w:rsid w:val="000565B0"/>
    <w:rsid w:val="000606E7"/>
    <w:rsid w:val="0006358E"/>
    <w:rsid w:val="0006425B"/>
    <w:rsid w:val="00064C08"/>
    <w:rsid w:val="00065E1C"/>
    <w:rsid w:val="00066B2A"/>
    <w:rsid w:val="00066B74"/>
    <w:rsid w:val="00066D72"/>
    <w:rsid w:val="00073870"/>
    <w:rsid w:val="00073E5D"/>
    <w:rsid w:val="000747E8"/>
    <w:rsid w:val="000748B0"/>
    <w:rsid w:val="00074F23"/>
    <w:rsid w:val="0008084E"/>
    <w:rsid w:val="00081234"/>
    <w:rsid w:val="000825D7"/>
    <w:rsid w:val="000836DE"/>
    <w:rsid w:val="000900CB"/>
    <w:rsid w:val="00091CDD"/>
    <w:rsid w:val="000922C9"/>
    <w:rsid w:val="00092CBB"/>
    <w:rsid w:val="00092FE4"/>
    <w:rsid w:val="000931BD"/>
    <w:rsid w:val="00093E2E"/>
    <w:rsid w:val="0009502D"/>
    <w:rsid w:val="000961CC"/>
    <w:rsid w:val="00096627"/>
    <w:rsid w:val="000A07A7"/>
    <w:rsid w:val="000A3056"/>
    <w:rsid w:val="000A3419"/>
    <w:rsid w:val="000A3E7D"/>
    <w:rsid w:val="000A45AB"/>
    <w:rsid w:val="000A5B5D"/>
    <w:rsid w:val="000A7704"/>
    <w:rsid w:val="000B0BEC"/>
    <w:rsid w:val="000B2AAB"/>
    <w:rsid w:val="000B465C"/>
    <w:rsid w:val="000B484F"/>
    <w:rsid w:val="000C3CA0"/>
    <w:rsid w:val="000C3DF7"/>
    <w:rsid w:val="000D514A"/>
    <w:rsid w:val="000D57BA"/>
    <w:rsid w:val="000D5E92"/>
    <w:rsid w:val="000E05EE"/>
    <w:rsid w:val="000E1ACE"/>
    <w:rsid w:val="000E251C"/>
    <w:rsid w:val="000E3B01"/>
    <w:rsid w:val="000E4245"/>
    <w:rsid w:val="000E4493"/>
    <w:rsid w:val="000E60BC"/>
    <w:rsid w:val="000E7B39"/>
    <w:rsid w:val="000F36AE"/>
    <w:rsid w:val="000F7C6E"/>
    <w:rsid w:val="0010099B"/>
    <w:rsid w:val="00100FF8"/>
    <w:rsid w:val="00101F5B"/>
    <w:rsid w:val="00102F24"/>
    <w:rsid w:val="001043F2"/>
    <w:rsid w:val="00105BAE"/>
    <w:rsid w:val="00110686"/>
    <w:rsid w:val="00110733"/>
    <w:rsid w:val="001110FB"/>
    <w:rsid w:val="00111FE8"/>
    <w:rsid w:val="001172BF"/>
    <w:rsid w:val="00117B60"/>
    <w:rsid w:val="00121816"/>
    <w:rsid w:val="00121F7E"/>
    <w:rsid w:val="00123FA7"/>
    <w:rsid w:val="001254AF"/>
    <w:rsid w:val="001301AD"/>
    <w:rsid w:val="0013040F"/>
    <w:rsid w:val="001339A5"/>
    <w:rsid w:val="00133C92"/>
    <w:rsid w:val="001350D3"/>
    <w:rsid w:val="0013632D"/>
    <w:rsid w:val="001377E7"/>
    <w:rsid w:val="00140BC0"/>
    <w:rsid w:val="0014490D"/>
    <w:rsid w:val="001454AA"/>
    <w:rsid w:val="0014581F"/>
    <w:rsid w:val="00147963"/>
    <w:rsid w:val="00151CB3"/>
    <w:rsid w:val="001527AD"/>
    <w:rsid w:val="00156740"/>
    <w:rsid w:val="00164271"/>
    <w:rsid w:val="00165B1E"/>
    <w:rsid w:val="00165C1E"/>
    <w:rsid w:val="00170E40"/>
    <w:rsid w:val="001710FE"/>
    <w:rsid w:val="001725B0"/>
    <w:rsid w:val="0017324F"/>
    <w:rsid w:val="001741BB"/>
    <w:rsid w:val="00174229"/>
    <w:rsid w:val="00174332"/>
    <w:rsid w:val="00175122"/>
    <w:rsid w:val="00175B30"/>
    <w:rsid w:val="001766CB"/>
    <w:rsid w:val="001823CE"/>
    <w:rsid w:val="001828BF"/>
    <w:rsid w:val="00182F3E"/>
    <w:rsid w:val="0018390B"/>
    <w:rsid w:val="00190860"/>
    <w:rsid w:val="00190946"/>
    <w:rsid w:val="001964D9"/>
    <w:rsid w:val="00196F86"/>
    <w:rsid w:val="00197E64"/>
    <w:rsid w:val="001A03FA"/>
    <w:rsid w:val="001A1CF2"/>
    <w:rsid w:val="001A3438"/>
    <w:rsid w:val="001A4D55"/>
    <w:rsid w:val="001A54C7"/>
    <w:rsid w:val="001A63BC"/>
    <w:rsid w:val="001A65A5"/>
    <w:rsid w:val="001B0B75"/>
    <w:rsid w:val="001B2B00"/>
    <w:rsid w:val="001B2D17"/>
    <w:rsid w:val="001B386D"/>
    <w:rsid w:val="001B3914"/>
    <w:rsid w:val="001B45F0"/>
    <w:rsid w:val="001B489C"/>
    <w:rsid w:val="001B59E6"/>
    <w:rsid w:val="001B7499"/>
    <w:rsid w:val="001C31D4"/>
    <w:rsid w:val="001C399E"/>
    <w:rsid w:val="001C6051"/>
    <w:rsid w:val="001C7DCD"/>
    <w:rsid w:val="001D104D"/>
    <w:rsid w:val="001D2420"/>
    <w:rsid w:val="001D5FEE"/>
    <w:rsid w:val="001D6125"/>
    <w:rsid w:val="001D7231"/>
    <w:rsid w:val="001E001A"/>
    <w:rsid w:val="001E1230"/>
    <w:rsid w:val="001E4F42"/>
    <w:rsid w:val="001E7621"/>
    <w:rsid w:val="001F163E"/>
    <w:rsid w:val="001F29B3"/>
    <w:rsid w:val="001F2EC2"/>
    <w:rsid w:val="001F3E4B"/>
    <w:rsid w:val="001F54B4"/>
    <w:rsid w:val="001F67E6"/>
    <w:rsid w:val="002024C9"/>
    <w:rsid w:val="00202B28"/>
    <w:rsid w:val="00202EAE"/>
    <w:rsid w:val="002031B0"/>
    <w:rsid w:val="0020629D"/>
    <w:rsid w:val="002108EC"/>
    <w:rsid w:val="00214B4E"/>
    <w:rsid w:val="00216A29"/>
    <w:rsid w:val="0021721B"/>
    <w:rsid w:val="00217454"/>
    <w:rsid w:val="00217554"/>
    <w:rsid w:val="00217CEE"/>
    <w:rsid w:val="00217FF2"/>
    <w:rsid w:val="0022084C"/>
    <w:rsid w:val="0022128C"/>
    <w:rsid w:val="00222604"/>
    <w:rsid w:val="002311A4"/>
    <w:rsid w:val="00231416"/>
    <w:rsid w:val="0023448C"/>
    <w:rsid w:val="002377AA"/>
    <w:rsid w:val="00237DA9"/>
    <w:rsid w:val="0024294A"/>
    <w:rsid w:val="0024439C"/>
    <w:rsid w:val="00246ED6"/>
    <w:rsid w:val="00247087"/>
    <w:rsid w:val="00250696"/>
    <w:rsid w:val="00252632"/>
    <w:rsid w:val="00252C2F"/>
    <w:rsid w:val="0025307D"/>
    <w:rsid w:val="0025414C"/>
    <w:rsid w:val="00254274"/>
    <w:rsid w:val="00255323"/>
    <w:rsid w:val="0025783A"/>
    <w:rsid w:val="00261B51"/>
    <w:rsid w:val="0026448C"/>
    <w:rsid w:val="0027254A"/>
    <w:rsid w:val="0027296C"/>
    <w:rsid w:val="00273567"/>
    <w:rsid w:val="00274B7E"/>
    <w:rsid w:val="00277656"/>
    <w:rsid w:val="0028151B"/>
    <w:rsid w:val="0028419D"/>
    <w:rsid w:val="002846E6"/>
    <w:rsid w:val="00287F2F"/>
    <w:rsid w:val="002A2F57"/>
    <w:rsid w:val="002A57B5"/>
    <w:rsid w:val="002A6E78"/>
    <w:rsid w:val="002B3211"/>
    <w:rsid w:val="002B57EB"/>
    <w:rsid w:val="002C0809"/>
    <w:rsid w:val="002C4FF7"/>
    <w:rsid w:val="002C6249"/>
    <w:rsid w:val="002D1286"/>
    <w:rsid w:val="002D18D9"/>
    <w:rsid w:val="002D3AEC"/>
    <w:rsid w:val="002D4EE8"/>
    <w:rsid w:val="002D51D6"/>
    <w:rsid w:val="002E27FF"/>
    <w:rsid w:val="002E332D"/>
    <w:rsid w:val="002E4806"/>
    <w:rsid w:val="002F0D29"/>
    <w:rsid w:val="002F196B"/>
    <w:rsid w:val="002F1EE9"/>
    <w:rsid w:val="002F35CA"/>
    <w:rsid w:val="002F4442"/>
    <w:rsid w:val="002F470C"/>
    <w:rsid w:val="003027D6"/>
    <w:rsid w:val="00303113"/>
    <w:rsid w:val="00303803"/>
    <w:rsid w:val="0030444D"/>
    <w:rsid w:val="00304702"/>
    <w:rsid w:val="003054A2"/>
    <w:rsid w:val="00306FAE"/>
    <w:rsid w:val="00307AE4"/>
    <w:rsid w:val="00311253"/>
    <w:rsid w:val="003133E9"/>
    <w:rsid w:val="00313B07"/>
    <w:rsid w:val="0031677E"/>
    <w:rsid w:val="00320695"/>
    <w:rsid w:val="0032148F"/>
    <w:rsid w:val="00321B6D"/>
    <w:rsid w:val="00323137"/>
    <w:rsid w:val="003236F2"/>
    <w:rsid w:val="00325169"/>
    <w:rsid w:val="00325DE9"/>
    <w:rsid w:val="003324F2"/>
    <w:rsid w:val="003331CD"/>
    <w:rsid w:val="0033370A"/>
    <w:rsid w:val="00337974"/>
    <w:rsid w:val="0034029D"/>
    <w:rsid w:val="00341A42"/>
    <w:rsid w:val="00342AE5"/>
    <w:rsid w:val="00343FB9"/>
    <w:rsid w:val="003448F6"/>
    <w:rsid w:val="00346148"/>
    <w:rsid w:val="0034621B"/>
    <w:rsid w:val="0034709A"/>
    <w:rsid w:val="00347569"/>
    <w:rsid w:val="00347D72"/>
    <w:rsid w:val="00353042"/>
    <w:rsid w:val="00355009"/>
    <w:rsid w:val="00355F17"/>
    <w:rsid w:val="003569DA"/>
    <w:rsid w:val="0035736D"/>
    <w:rsid w:val="00357D87"/>
    <w:rsid w:val="00360B7F"/>
    <w:rsid w:val="003611D7"/>
    <w:rsid w:val="00363BB5"/>
    <w:rsid w:val="003651D6"/>
    <w:rsid w:val="00367904"/>
    <w:rsid w:val="00371B93"/>
    <w:rsid w:val="00375E63"/>
    <w:rsid w:val="00376815"/>
    <w:rsid w:val="003769AA"/>
    <w:rsid w:val="003775F0"/>
    <w:rsid w:val="00380EAF"/>
    <w:rsid w:val="00381B6A"/>
    <w:rsid w:val="003838CD"/>
    <w:rsid w:val="00385056"/>
    <w:rsid w:val="00385711"/>
    <w:rsid w:val="00385AEB"/>
    <w:rsid w:val="003861F9"/>
    <w:rsid w:val="00386E24"/>
    <w:rsid w:val="00390FA7"/>
    <w:rsid w:val="00391396"/>
    <w:rsid w:val="00391E3C"/>
    <w:rsid w:val="003976A0"/>
    <w:rsid w:val="00397911"/>
    <w:rsid w:val="00397B95"/>
    <w:rsid w:val="003A0D71"/>
    <w:rsid w:val="003A1B77"/>
    <w:rsid w:val="003A1B89"/>
    <w:rsid w:val="003A3819"/>
    <w:rsid w:val="003A39C4"/>
    <w:rsid w:val="003A3B8D"/>
    <w:rsid w:val="003A54D3"/>
    <w:rsid w:val="003A6278"/>
    <w:rsid w:val="003B4ACE"/>
    <w:rsid w:val="003B4BED"/>
    <w:rsid w:val="003B5B89"/>
    <w:rsid w:val="003B78D0"/>
    <w:rsid w:val="003C037D"/>
    <w:rsid w:val="003C157E"/>
    <w:rsid w:val="003C3E1A"/>
    <w:rsid w:val="003C455C"/>
    <w:rsid w:val="003C6B40"/>
    <w:rsid w:val="003C7580"/>
    <w:rsid w:val="003D1372"/>
    <w:rsid w:val="003D2589"/>
    <w:rsid w:val="003D28C8"/>
    <w:rsid w:val="003D2A83"/>
    <w:rsid w:val="003D3065"/>
    <w:rsid w:val="003D6C2D"/>
    <w:rsid w:val="003E202F"/>
    <w:rsid w:val="003E32CB"/>
    <w:rsid w:val="003E6FC4"/>
    <w:rsid w:val="003F18CD"/>
    <w:rsid w:val="003F3385"/>
    <w:rsid w:val="003F393E"/>
    <w:rsid w:val="003F3A5F"/>
    <w:rsid w:val="003F568C"/>
    <w:rsid w:val="003F57C9"/>
    <w:rsid w:val="00401B89"/>
    <w:rsid w:val="00402625"/>
    <w:rsid w:val="00406BCB"/>
    <w:rsid w:val="0041471C"/>
    <w:rsid w:val="0041568F"/>
    <w:rsid w:val="00415C65"/>
    <w:rsid w:val="00417036"/>
    <w:rsid w:val="00417AA4"/>
    <w:rsid w:val="00417FA1"/>
    <w:rsid w:val="004206D1"/>
    <w:rsid w:val="00422DD3"/>
    <w:rsid w:val="00425107"/>
    <w:rsid w:val="00425DD3"/>
    <w:rsid w:val="00427055"/>
    <w:rsid w:val="00431B8E"/>
    <w:rsid w:val="0043340F"/>
    <w:rsid w:val="00441611"/>
    <w:rsid w:val="0044295A"/>
    <w:rsid w:val="004447F8"/>
    <w:rsid w:val="004448A1"/>
    <w:rsid w:val="00445AD3"/>
    <w:rsid w:val="00445D79"/>
    <w:rsid w:val="0044656D"/>
    <w:rsid w:val="0044661A"/>
    <w:rsid w:val="00447118"/>
    <w:rsid w:val="0045026D"/>
    <w:rsid w:val="00453B43"/>
    <w:rsid w:val="004552CD"/>
    <w:rsid w:val="0045550F"/>
    <w:rsid w:val="0045745D"/>
    <w:rsid w:val="00457671"/>
    <w:rsid w:val="004579AE"/>
    <w:rsid w:val="0046088B"/>
    <w:rsid w:val="00461D36"/>
    <w:rsid w:val="004634F3"/>
    <w:rsid w:val="00463C05"/>
    <w:rsid w:val="00464F88"/>
    <w:rsid w:val="004661F0"/>
    <w:rsid w:val="00467367"/>
    <w:rsid w:val="0047191E"/>
    <w:rsid w:val="00473CBE"/>
    <w:rsid w:val="004743B6"/>
    <w:rsid w:val="00482284"/>
    <w:rsid w:val="00482E5A"/>
    <w:rsid w:val="00483E66"/>
    <w:rsid w:val="00485323"/>
    <w:rsid w:val="00485512"/>
    <w:rsid w:val="00486BFB"/>
    <w:rsid w:val="0048787C"/>
    <w:rsid w:val="0049489F"/>
    <w:rsid w:val="00494D4A"/>
    <w:rsid w:val="0049767B"/>
    <w:rsid w:val="004A0590"/>
    <w:rsid w:val="004A093E"/>
    <w:rsid w:val="004A495F"/>
    <w:rsid w:val="004B07B1"/>
    <w:rsid w:val="004B2371"/>
    <w:rsid w:val="004B29D7"/>
    <w:rsid w:val="004B31F0"/>
    <w:rsid w:val="004C33C1"/>
    <w:rsid w:val="004C4355"/>
    <w:rsid w:val="004C4943"/>
    <w:rsid w:val="004C49CF"/>
    <w:rsid w:val="004C687C"/>
    <w:rsid w:val="004C72C1"/>
    <w:rsid w:val="004D2F14"/>
    <w:rsid w:val="004D3349"/>
    <w:rsid w:val="004E00B0"/>
    <w:rsid w:val="004E25E3"/>
    <w:rsid w:val="004E288D"/>
    <w:rsid w:val="004E4E88"/>
    <w:rsid w:val="004E5B94"/>
    <w:rsid w:val="004F046C"/>
    <w:rsid w:val="004F1DE9"/>
    <w:rsid w:val="004F1E24"/>
    <w:rsid w:val="004F2540"/>
    <w:rsid w:val="004F3B96"/>
    <w:rsid w:val="004F4045"/>
    <w:rsid w:val="004F78F2"/>
    <w:rsid w:val="00502565"/>
    <w:rsid w:val="00502D8C"/>
    <w:rsid w:val="005039A1"/>
    <w:rsid w:val="00503AAE"/>
    <w:rsid w:val="005043CB"/>
    <w:rsid w:val="005067B1"/>
    <w:rsid w:val="00511132"/>
    <w:rsid w:val="005145A9"/>
    <w:rsid w:val="00514C59"/>
    <w:rsid w:val="00515108"/>
    <w:rsid w:val="00515B8A"/>
    <w:rsid w:val="00517428"/>
    <w:rsid w:val="00517B80"/>
    <w:rsid w:val="00517E08"/>
    <w:rsid w:val="00523B41"/>
    <w:rsid w:val="005265E2"/>
    <w:rsid w:val="00526C46"/>
    <w:rsid w:val="00527B3E"/>
    <w:rsid w:val="00527F22"/>
    <w:rsid w:val="00531A80"/>
    <w:rsid w:val="00534393"/>
    <w:rsid w:val="005344A1"/>
    <w:rsid w:val="00534867"/>
    <w:rsid w:val="005352EA"/>
    <w:rsid w:val="00535610"/>
    <w:rsid w:val="00540164"/>
    <w:rsid w:val="00540A30"/>
    <w:rsid w:val="00541F89"/>
    <w:rsid w:val="0054223B"/>
    <w:rsid w:val="00542DD1"/>
    <w:rsid w:val="00543AD6"/>
    <w:rsid w:val="005456D3"/>
    <w:rsid w:val="00553C8B"/>
    <w:rsid w:val="005577EF"/>
    <w:rsid w:val="0056200C"/>
    <w:rsid w:val="0056260E"/>
    <w:rsid w:val="00564B4A"/>
    <w:rsid w:val="00565CC2"/>
    <w:rsid w:val="00565F63"/>
    <w:rsid w:val="00571D91"/>
    <w:rsid w:val="00574191"/>
    <w:rsid w:val="00575DFB"/>
    <w:rsid w:val="0057726B"/>
    <w:rsid w:val="005807A1"/>
    <w:rsid w:val="00582EB2"/>
    <w:rsid w:val="005844F7"/>
    <w:rsid w:val="00585D01"/>
    <w:rsid w:val="00591C79"/>
    <w:rsid w:val="0059377B"/>
    <w:rsid w:val="005948FB"/>
    <w:rsid w:val="005966E3"/>
    <w:rsid w:val="005A1A8C"/>
    <w:rsid w:val="005A20A5"/>
    <w:rsid w:val="005A3232"/>
    <w:rsid w:val="005B35B4"/>
    <w:rsid w:val="005B63D7"/>
    <w:rsid w:val="005C0F8C"/>
    <w:rsid w:val="005C406F"/>
    <w:rsid w:val="005C6CB8"/>
    <w:rsid w:val="005D10C3"/>
    <w:rsid w:val="005D1391"/>
    <w:rsid w:val="005D22A9"/>
    <w:rsid w:val="005D2A7B"/>
    <w:rsid w:val="005D32B7"/>
    <w:rsid w:val="005D5813"/>
    <w:rsid w:val="005E083C"/>
    <w:rsid w:val="005E52C8"/>
    <w:rsid w:val="005F026F"/>
    <w:rsid w:val="005F3551"/>
    <w:rsid w:val="005F3EF0"/>
    <w:rsid w:val="005F69C0"/>
    <w:rsid w:val="005F6BAA"/>
    <w:rsid w:val="005F706B"/>
    <w:rsid w:val="005F71CB"/>
    <w:rsid w:val="005F7593"/>
    <w:rsid w:val="005F7D41"/>
    <w:rsid w:val="00601DBA"/>
    <w:rsid w:val="006020C0"/>
    <w:rsid w:val="00602383"/>
    <w:rsid w:val="00605CA2"/>
    <w:rsid w:val="00607101"/>
    <w:rsid w:val="00610F3E"/>
    <w:rsid w:val="0061113F"/>
    <w:rsid w:val="00611F40"/>
    <w:rsid w:val="00613D90"/>
    <w:rsid w:val="006172CE"/>
    <w:rsid w:val="0062096E"/>
    <w:rsid w:val="00621847"/>
    <w:rsid w:val="00622FFC"/>
    <w:rsid w:val="00625764"/>
    <w:rsid w:val="00627001"/>
    <w:rsid w:val="00627253"/>
    <w:rsid w:val="006307E6"/>
    <w:rsid w:val="00633BD4"/>
    <w:rsid w:val="00634C69"/>
    <w:rsid w:val="006358C2"/>
    <w:rsid w:val="00636809"/>
    <w:rsid w:val="006374AB"/>
    <w:rsid w:val="00637594"/>
    <w:rsid w:val="006439AB"/>
    <w:rsid w:val="0064782C"/>
    <w:rsid w:val="00647CDE"/>
    <w:rsid w:val="00647E82"/>
    <w:rsid w:val="00652A07"/>
    <w:rsid w:val="00652BC1"/>
    <w:rsid w:val="00652E30"/>
    <w:rsid w:val="00654800"/>
    <w:rsid w:val="0065680E"/>
    <w:rsid w:val="006625B4"/>
    <w:rsid w:val="00664AAD"/>
    <w:rsid w:val="006654F5"/>
    <w:rsid w:val="006660B8"/>
    <w:rsid w:val="00666688"/>
    <w:rsid w:val="00670594"/>
    <w:rsid w:val="00672705"/>
    <w:rsid w:val="006739B8"/>
    <w:rsid w:val="006748BD"/>
    <w:rsid w:val="006749C0"/>
    <w:rsid w:val="006753B5"/>
    <w:rsid w:val="00675BA8"/>
    <w:rsid w:val="006773B3"/>
    <w:rsid w:val="00683078"/>
    <w:rsid w:val="006837FC"/>
    <w:rsid w:val="006839F3"/>
    <w:rsid w:val="00685E50"/>
    <w:rsid w:val="0068607E"/>
    <w:rsid w:val="00692428"/>
    <w:rsid w:val="0069331F"/>
    <w:rsid w:val="00694B6A"/>
    <w:rsid w:val="00697040"/>
    <w:rsid w:val="006A0C24"/>
    <w:rsid w:val="006A1EBE"/>
    <w:rsid w:val="006A3A26"/>
    <w:rsid w:val="006A4069"/>
    <w:rsid w:val="006A4D01"/>
    <w:rsid w:val="006A7079"/>
    <w:rsid w:val="006B03B7"/>
    <w:rsid w:val="006B1795"/>
    <w:rsid w:val="006B7148"/>
    <w:rsid w:val="006C0BD1"/>
    <w:rsid w:val="006C44F2"/>
    <w:rsid w:val="006D03D3"/>
    <w:rsid w:val="006D1191"/>
    <w:rsid w:val="006D12AE"/>
    <w:rsid w:val="006D256E"/>
    <w:rsid w:val="006D2F99"/>
    <w:rsid w:val="006D579B"/>
    <w:rsid w:val="006E2E85"/>
    <w:rsid w:val="006E3808"/>
    <w:rsid w:val="006E46BA"/>
    <w:rsid w:val="006E6787"/>
    <w:rsid w:val="006E7C53"/>
    <w:rsid w:val="006E7FFB"/>
    <w:rsid w:val="006F320F"/>
    <w:rsid w:val="006F4738"/>
    <w:rsid w:val="006F4D76"/>
    <w:rsid w:val="006F4F63"/>
    <w:rsid w:val="006F5312"/>
    <w:rsid w:val="006F5A87"/>
    <w:rsid w:val="006F79A1"/>
    <w:rsid w:val="0070008D"/>
    <w:rsid w:val="00701818"/>
    <w:rsid w:val="007044A8"/>
    <w:rsid w:val="007049DD"/>
    <w:rsid w:val="007051C5"/>
    <w:rsid w:val="00705519"/>
    <w:rsid w:val="00705CAE"/>
    <w:rsid w:val="007130C3"/>
    <w:rsid w:val="007148D8"/>
    <w:rsid w:val="007166CC"/>
    <w:rsid w:val="00717681"/>
    <w:rsid w:val="00720C04"/>
    <w:rsid w:val="00721139"/>
    <w:rsid w:val="0072145F"/>
    <w:rsid w:val="00723E6A"/>
    <w:rsid w:val="00724A32"/>
    <w:rsid w:val="007254C5"/>
    <w:rsid w:val="007258C2"/>
    <w:rsid w:val="007276A8"/>
    <w:rsid w:val="00730180"/>
    <w:rsid w:val="0073228C"/>
    <w:rsid w:val="00733B8C"/>
    <w:rsid w:val="0073416D"/>
    <w:rsid w:val="00734AE2"/>
    <w:rsid w:val="00734F13"/>
    <w:rsid w:val="0073514B"/>
    <w:rsid w:val="00735FFA"/>
    <w:rsid w:val="007368AB"/>
    <w:rsid w:val="007368D8"/>
    <w:rsid w:val="00736EA5"/>
    <w:rsid w:val="007426C5"/>
    <w:rsid w:val="0074357A"/>
    <w:rsid w:val="00743F06"/>
    <w:rsid w:val="00744439"/>
    <w:rsid w:val="00745B70"/>
    <w:rsid w:val="00753126"/>
    <w:rsid w:val="00753CCC"/>
    <w:rsid w:val="00754720"/>
    <w:rsid w:val="00756549"/>
    <w:rsid w:val="007610D8"/>
    <w:rsid w:val="0076286E"/>
    <w:rsid w:val="007630E7"/>
    <w:rsid w:val="00764778"/>
    <w:rsid w:val="00766FAB"/>
    <w:rsid w:val="00767855"/>
    <w:rsid w:val="007727DC"/>
    <w:rsid w:val="00772A69"/>
    <w:rsid w:val="00774E33"/>
    <w:rsid w:val="0077605A"/>
    <w:rsid w:val="0077613C"/>
    <w:rsid w:val="0077785F"/>
    <w:rsid w:val="00781710"/>
    <w:rsid w:val="00783FE3"/>
    <w:rsid w:val="007856C8"/>
    <w:rsid w:val="00787818"/>
    <w:rsid w:val="00787C2B"/>
    <w:rsid w:val="00791548"/>
    <w:rsid w:val="0079276B"/>
    <w:rsid w:val="00795A46"/>
    <w:rsid w:val="00797417"/>
    <w:rsid w:val="007A0C0E"/>
    <w:rsid w:val="007A37DD"/>
    <w:rsid w:val="007A483E"/>
    <w:rsid w:val="007A73DA"/>
    <w:rsid w:val="007B0C64"/>
    <w:rsid w:val="007B1ACB"/>
    <w:rsid w:val="007B4001"/>
    <w:rsid w:val="007C0802"/>
    <w:rsid w:val="007C3661"/>
    <w:rsid w:val="007C4884"/>
    <w:rsid w:val="007C6ACA"/>
    <w:rsid w:val="007D4762"/>
    <w:rsid w:val="007D5B62"/>
    <w:rsid w:val="007D71A4"/>
    <w:rsid w:val="007E0C81"/>
    <w:rsid w:val="007E131F"/>
    <w:rsid w:val="007E3072"/>
    <w:rsid w:val="007E3AB4"/>
    <w:rsid w:val="007E503B"/>
    <w:rsid w:val="007E50CF"/>
    <w:rsid w:val="007F0171"/>
    <w:rsid w:val="007F04BA"/>
    <w:rsid w:val="007F09D9"/>
    <w:rsid w:val="007F3A17"/>
    <w:rsid w:val="007F494D"/>
    <w:rsid w:val="007F4A0E"/>
    <w:rsid w:val="007F4A5E"/>
    <w:rsid w:val="007F59E4"/>
    <w:rsid w:val="007F614C"/>
    <w:rsid w:val="007F760D"/>
    <w:rsid w:val="00801B76"/>
    <w:rsid w:val="00802F63"/>
    <w:rsid w:val="00811656"/>
    <w:rsid w:val="00814690"/>
    <w:rsid w:val="008146DF"/>
    <w:rsid w:val="008154AA"/>
    <w:rsid w:val="00825C21"/>
    <w:rsid w:val="008276DB"/>
    <w:rsid w:val="00830F68"/>
    <w:rsid w:val="00837BCB"/>
    <w:rsid w:val="008418BB"/>
    <w:rsid w:val="00842B19"/>
    <w:rsid w:val="008439AE"/>
    <w:rsid w:val="008459C7"/>
    <w:rsid w:val="00846B08"/>
    <w:rsid w:val="00850F58"/>
    <w:rsid w:val="00851628"/>
    <w:rsid w:val="008517F4"/>
    <w:rsid w:val="008523BF"/>
    <w:rsid w:val="00852983"/>
    <w:rsid w:val="00861816"/>
    <w:rsid w:val="00865913"/>
    <w:rsid w:val="00865DD9"/>
    <w:rsid w:val="0087111D"/>
    <w:rsid w:val="00872C37"/>
    <w:rsid w:val="008747B2"/>
    <w:rsid w:val="00874D8E"/>
    <w:rsid w:val="008818F5"/>
    <w:rsid w:val="008900AA"/>
    <w:rsid w:val="0089112F"/>
    <w:rsid w:val="00892037"/>
    <w:rsid w:val="008926D5"/>
    <w:rsid w:val="008946AD"/>
    <w:rsid w:val="00894C90"/>
    <w:rsid w:val="0089617F"/>
    <w:rsid w:val="00896CB9"/>
    <w:rsid w:val="008A16D5"/>
    <w:rsid w:val="008A245A"/>
    <w:rsid w:val="008A24AF"/>
    <w:rsid w:val="008A5317"/>
    <w:rsid w:val="008A6A4A"/>
    <w:rsid w:val="008B36F5"/>
    <w:rsid w:val="008B3DB3"/>
    <w:rsid w:val="008C2C79"/>
    <w:rsid w:val="008C3403"/>
    <w:rsid w:val="008C4FFB"/>
    <w:rsid w:val="008D52D2"/>
    <w:rsid w:val="008E1419"/>
    <w:rsid w:val="008E1FB4"/>
    <w:rsid w:val="008E2E22"/>
    <w:rsid w:val="008E2F15"/>
    <w:rsid w:val="008E690E"/>
    <w:rsid w:val="008F076A"/>
    <w:rsid w:val="008F0A26"/>
    <w:rsid w:val="008F6AB0"/>
    <w:rsid w:val="008F6CA5"/>
    <w:rsid w:val="008F7E88"/>
    <w:rsid w:val="00901696"/>
    <w:rsid w:val="00901FF8"/>
    <w:rsid w:val="00902E47"/>
    <w:rsid w:val="00907007"/>
    <w:rsid w:val="009152F7"/>
    <w:rsid w:val="009162F2"/>
    <w:rsid w:val="0091661B"/>
    <w:rsid w:val="00917B29"/>
    <w:rsid w:val="009215B0"/>
    <w:rsid w:val="00923BA1"/>
    <w:rsid w:val="00923F66"/>
    <w:rsid w:val="00925319"/>
    <w:rsid w:val="00925BF7"/>
    <w:rsid w:val="009318DF"/>
    <w:rsid w:val="009323F0"/>
    <w:rsid w:val="00933252"/>
    <w:rsid w:val="00933E14"/>
    <w:rsid w:val="00936DD1"/>
    <w:rsid w:val="00940589"/>
    <w:rsid w:val="009407D4"/>
    <w:rsid w:val="00941A9B"/>
    <w:rsid w:val="00942FC4"/>
    <w:rsid w:val="0094417D"/>
    <w:rsid w:val="00944753"/>
    <w:rsid w:val="00944A4F"/>
    <w:rsid w:val="009465F5"/>
    <w:rsid w:val="00954631"/>
    <w:rsid w:val="00955123"/>
    <w:rsid w:val="009561F3"/>
    <w:rsid w:val="009609E6"/>
    <w:rsid w:val="0096389F"/>
    <w:rsid w:val="0096500A"/>
    <w:rsid w:val="0097126B"/>
    <w:rsid w:val="009758A4"/>
    <w:rsid w:val="00975EBC"/>
    <w:rsid w:val="00977C6A"/>
    <w:rsid w:val="00981DE7"/>
    <w:rsid w:val="00982854"/>
    <w:rsid w:val="00983608"/>
    <w:rsid w:val="00987C5B"/>
    <w:rsid w:val="0099215B"/>
    <w:rsid w:val="009961D8"/>
    <w:rsid w:val="009A2910"/>
    <w:rsid w:val="009A5038"/>
    <w:rsid w:val="009A6321"/>
    <w:rsid w:val="009B1161"/>
    <w:rsid w:val="009B1B7D"/>
    <w:rsid w:val="009B45C7"/>
    <w:rsid w:val="009B6A5D"/>
    <w:rsid w:val="009C2295"/>
    <w:rsid w:val="009C2BA4"/>
    <w:rsid w:val="009C422A"/>
    <w:rsid w:val="009C49CC"/>
    <w:rsid w:val="009C5BA5"/>
    <w:rsid w:val="009C602E"/>
    <w:rsid w:val="009C7A2C"/>
    <w:rsid w:val="009C7BFC"/>
    <w:rsid w:val="009C7CB2"/>
    <w:rsid w:val="009D0002"/>
    <w:rsid w:val="009D1F02"/>
    <w:rsid w:val="009E01FC"/>
    <w:rsid w:val="009E329A"/>
    <w:rsid w:val="009E34A2"/>
    <w:rsid w:val="009E65CE"/>
    <w:rsid w:val="009E6D61"/>
    <w:rsid w:val="009F0474"/>
    <w:rsid w:val="009F11F0"/>
    <w:rsid w:val="009F2264"/>
    <w:rsid w:val="009F25B4"/>
    <w:rsid w:val="009F480F"/>
    <w:rsid w:val="009F6317"/>
    <w:rsid w:val="009F787F"/>
    <w:rsid w:val="009F7C97"/>
    <w:rsid w:val="00A06DD6"/>
    <w:rsid w:val="00A10D23"/>
    <w:rsid w:val="00A1107F"/>
    <w:rsid w:val="00A1519D"/>
    <w:rsid w:val="00A156CC"/>
    <w:rsid w:val="00A15FA4"/>
    <w:rsid w:val="00A21527"/>
    <w:rsid w:val="00A218A5"/>
    <w:rsid w:val="00A22517"/>
    <w:rsid w:val="00A22F93"/>
    <w:rsid w:val="00A23405"/>
    <w:rsid w:val="00A24159"/>
    <w:rsid w:val="00A30B3E"/>
    <w:rsid w:val="00A31131"/>
    <w:rsid w:val="00A311CB"/>
    <w:rsid w:val="00A31B0F"/>
    <w:rsid w:val="00A3224B"/>
    <w:rsid w:val="00A34DCF"/>
    <w:rsid w:val="00A360AF"/>
    <w:rsid w:val="00A3677E"/>
    <w:rsid w:val="00A36BCA"/>
    <w:rsid w:val="00A376A6"/>
    <w:rsid w:val="00A377D8"/>
    <w:rsid w:val="00A40621"/>
    <w:rsid w:val="00A40B8D"/>
    <w:rsid w:val="00A42C6C"/>
    <w:rsid w:val="00A44979"/>
    <w:rsid w:val="00A4794C"/>
    <w:rsid w:val="00A52000"/>
    <w:rsid w:val="00A5306F"/>
    <w:rsid w:val="00A54EAB"/>
    <w:rsid w:val="00A57033"/>
    <w:rsid w:val="00A61D0D"/>
    <w:rsid w:val="00A62759"/>
    <w:rsid w:val="00A63CEE"/>
    <w:rsid w:val="00A710B1"/>
    <w:rsid w:val="00A71194"/>
    <w:rsid w:val="00A74D85"/>
    <w:rsid w:val="00A75D64"/>
    <w:rsid w:val="00A801FF"/>
    <w:rsid w:val="00A82AB0"/>
    <w:rsid w:val="00A83CB9"/>
    <w:rsid w:val="00A86C7E"/>
    <w:rsid w:val="00A87486"/>
    <w:rsid w:val="00A936E5"/>
    <w:rsid w:val="00A93941"/>
    <w:rsid w:val="00A93B32"/>
    <w:rsid w:val="00A9435F"/>
    <w:rsid w:val="00A9527B"/>
    <w:rsid w:val="00AA0F40"/>
    <w:rsid w:val="00AA24DE"/>
    <w:rsid w:val="00AA3DFC"/>
    <w:rsid w:val="00AB00E2"/>
    <w:rsid w:val="00AB126C"/>
    <w:rsid w:val="00AB1566"/>
    <w:rsid w:val="00AB1F81"/>
    <w:rsid w:val="00AB3603"/>
    <w:rsid w:val="00AB410F"/>
    <w:rsid w:val="00AB6F3E"/>
    <w:rsid w:val="00AB7975"/>
    <w:rsid w:val="00AC1944"/>
    <w:rsid w:val="00AC3896"/>
    <w:rsid w:val="00AC3C40"/>
    <w:rsid w:val="00AC4F8B"/>
    <w:rsid w:val="00AC7CE0"/>
    <w:rsid w:val="00AC7F70"/>
    <w:rsid w:val="00AD024F"/>
    <w:rsid w:val="00AD3B06"/>
    <w:rsid w:val="00AD3CA8"/>
    <w:rsid w:val="00AD4945"/>
    <w:rsid w:val="00AD75A4"/>
    <w:rsid w:val="00AE0012"/>
    <w:rsid w:val="00AE0331"/>
    <w:rsid w:val="00AE138A"/>
    <w:rsid w:val="00AE203F"/>
    <w:rsid w:val="00AE4ACE"/>
    <w:rsid w:val="00AE62F1"/>
    <w:rsid w:val="00AE6707"/>
    <w:rsid w:val="00AF2322"/>
    <w:rsid w:val="00AF24A1"/>
    <w:rsid w:val="00AF290A"/>
    <w:rsid w:val="00AF39C0"/>
    <w:rsid w:val="00AF771E"/>
    <w:rsid w:val="00AF7F6E"/>
    <w:rsid w:val="00B015A2"/>
    <w:rsid w:val="00B01EB0"/>
    <w:rsid w:val="00B02B04"/>
    <w:rsid w:val="00B04258"/>
    <w:rsid w:val="00B055AB"/>
    <w:rsid w:val="00B0651E"/>
    <w:rsid w:val="00B07757"/>
    <w:rsid w:val="00B10D5B"/>
    <w:rsid w:val="00B15421"/>
    <w:rsid w:val="00B204DC"/>
    <w:rsid w:val="00B24DE2"/>
    <w:rsid w:val="00B25DE7"/>
    <w:rsid w:val="00B26115"/>
    <w:rsid w:val="00B26436"/>
    <w:rsid w:val="00B27A04"/>
    <w:rsid w:val="00B34FC1"/>
    <w:rsid w:val="00B36892"/>
    <w:rsid w:val="00B376EF"/>
    <w:rsid w:val="00B404B3"/>
    <w:rsid w:val="00B42392"/>
    <w:rsid w:val="00B425B4"/>
    <w:rsid w:val="00B4295C"/>
    <w:rsid w:val="00B4491B"/>
    <w:rsid w:val="00B44A98"/>
    <w:rsid w:val="00B45AAA"/>
    <w:rsid w:val="00B47B5B"/>
    <w:rsid w:val="00B47F49"/>
    <w:rsid w:val="00B55B90"/>
    <w:rsid w:val="00B55FAB"/>
    <w:rsid w:val="00B56800"/>
    <w:rsid w:val="00B56C6F"/>
    <w:rsid w:val="00B60545"/>
    <w:rsid w:val="00B613C6"/>
    <w:rsid w:val="00B63022"/>
    <w:rsid w:val="00B70634"/>
    <w:rsid w:val="00B72110"/>
    <w:rsid w:val="00B73DE9"/>
    <w:rsid w:val="00B769B6"/>
    <w:rsid w:val="00B76D39"/>
    <w:rsid w:val="00B81272"/>
    <w:rsid w:val="00B82001"/>
    <w:rsid w:val="00B834E9"/>
    <w:rsid w:val="00B83A6C"/>
    <w:rsid w:val="00B84CF1"/>
    <w:rsid w:val="00B84E1A"/>
    <w:rsid w:val="00B86962"/>
    <w:rsid w:val="00B9070F"/>
    <w:rsid w:val="00B9075B"/>
    <w:rsid w:val="00B93A14"/>
    <w:rsid w:val="00B94A0B"/>
    <w:rsid w:val="00B95481"/>
    <w:rsid w:val="00B9730A"/>
    <w:rsid w:val="00BA0C90"/>
    <w:rsid w:val="00BA1012"/>
    <w:rsid w:val="00BA3F8F"/>
    <w:rsid w:val="00BA50F5"/>
    <w:rsid w:val="00BA50F7"/>
    <w:rsid w:val="00BA5BE8"/>
    <w:rsid w:val="00BA60D7"/>
    <w:rsid w:val="00BA6225"/>
    <w:rsid w:val="00BA6E07"/>
    <w:rsid w:val="00BB065B"/>
    <w:rsid w:val="00BB1F14"/>
    <w:rsid w:val="00BB309A"/>
    <w:rsid w:val="00BB4BE6"/>
    <w:rsid w:val="00BB4FDF"/>
    <w:rsid w:val="00BB5956"/>
    <w:rsid w:val="00BB5C51"/>
    <w:rsid w:val="00BB62EA"/>
    <w:rsid w:val="00BC3FA7"/>
    <w:rsid w:val="00BC4BC6"/>
    <w:rsid w:val="00BC58E6"/>
    <w:rsid w:val="00BC5E28"/>
    <w:rsid w:val="00BC6FE9"/>
    <w:rsid w:val="00BD0150"/>
    <w:rsid w:val="00BD06E9"/>
    <w:rsid w:val="00BD290C"/>
    <w:rsid w:val="00BD2AE7"/>
    <w:rsid w:val="00BD3CAB"/>
    <w:rsid w:val="00BD3FFA"/>
    <w:rsid w:val="00BD4D1F"/>
    <w:rsid w:val="00BE29AA"/>
    <w:rsid w:val="00BE5A85"/>
    <w:rsid w:val="00BE5D54"/>
    <w:rsid w:val="00BE6155"/>
    <w:rsid w:val="00BE70EA"/>
    <w:rsid w:val="00BF2925"/>
    <w:rsid w:val="00BF2A55"/>
    <w:rsid w:val="00BF57FB"/>
    <w:rsid w:val="00BF7245"/>
    <w:rsid w:val="00BF7BE3"/>
    <w:rsid w:val="00C0049B"/>
    <w:rsid w:val="00C00767"/>
    <w:rsid w:val="00C01001"/>
    <w:rsid w:val="00C0117F"/>
    <w:rsid w:val="00C01E52"/>
    <w:rsid w:val="00C02950"/>
    <w:rsid w:val="00C050F0"/>
    <w:rsid w:val="00C07822"/>
    <w:rsid w:val="00C10288"/>
    <w:rsid w:val="00C1587D"/>
    <w:rsid w:val="00C16FED"/>
    <w:rsid w:val="00C2050B"/>
    <w:rsid w:val="00C2084D"/>
    <w:rsid w:val="00C20E9D"/>
    <w:rsid w:val="00C21C44"/>
    <w:rsid w:val="00C22818"/>
    <w:rsid w:val="00C2309D"/>
    <w:rsid w:val="00C2326B"/>
    <w:rsid w:val="00C23BD2"/>
    <w:rsid w:val="00C245F4"/>
    <w:rsid w:val="00C25844"/>
    <w:rsid w:val="00C264EE"/>
    <w:rsid w:val="00C312D4"/>
    <w:rsid w:val="00C3154D"/>
    <w:rsid w:val="00C33A39"/>
    <w:rsid w:val="00C37190"/>
    <w:rsid w:val="00C378C9"/>
    <w:rsid w:val="00C423A8"/>
    <w:rsid w:val="00C42DCC"/>
    <w:rsid w:val="00C43977"/>
    <w:rsid w:val="00C44303"/>
    <w:rsid w:val="00C44928"/>
    <w:rsid w:val="00C500E7"/>
    <w:rsid w:val="00C51780"/>
    <w:rsid w:val="00C51C1F"/>
    <w:rsid w:val="00C5241F"/>
    <w:rsid w:val="00C526EF"/>
    <w:rsid w:val="00C534F9"/>
    <w:rsid w:val="00C54B8C"/>
    <w:rsid w:val="00C54C0D"/>
    <w:rsid w:val="00C54C25"/>
    <w:rsid w:val="00C5544D"/>
    <w:rsid w:val="00C56153"/>
    <w:rsid w:val="00C5715D"/>
    <w:rsid w:val="00C57B3C"/>
    <w:rsid w:val="00C60AC6"/>
    <w:rsid w:val="00C61426"/>
    <w:rsid w:val="00C62175"/>
    <w:rsid w:val="00C62AA6"/>
    <w:rsid w:val="00C63082"/>
    <w:rsid w:val="00C63773"/>
    <w:rsid w:val="00C65407"/>
    <w:rsid w:val="00C664BF"/>
    <w:rsid w:val="00C667FF"/>
    <w:rsid w:val="00C70FA0"/>
    <w:rsid w:val="00C718DB"/>
    <w:rsid w:val="00C730C8"/>
    <w:rsid w:val="00C754B8"/>
    <w:rsid w:val="00C75ACE"/>
    <w:rsid w:val="00C77524"/>
    <w:rsid w:val="00C7766E"/>
    <w:rsid w:val="00C80CC7"/>
    <w:rsid w:val="00C82703"/>
    <w:rsid w:val="00C85E05"/>
    <w:rsid w:val="00C85ECC"/>
    <w:rsid w:val="00C8600C"/>
    <w:rsid w:val="00C869AD"/>
    <w:rsid w:val="00C877D4"/>
    <w:rsid w:val="00C87FC1"/>
    <w:rsid w:val="00C94047"/>
    <w:rsid w:val="00C9793F"/>
    <w:rsid w:val="00CA133A"/>
    <w:rsid w:val="00CA1954"/>
    <w:rsid w:val="00CA31BC"/>
    <w:rsid w:val="00CA7BBE"/>
    <w:rsid w:val="00CB07F5"/>
    <w:rsid w:val="00CB0D8B"/>
    <w:rsid w:val="00CB0FA0"/>
    <w:rsid w:val="00CB1D74"/>
    <w:rsid w:val="00CB2EA0"/>
    <w:rsid w:val="00CB3DCC"/>
    <w:rsid w:val="00CB53FC"/>
    <w:rsid w:val="00CB586C"/>
    <w:rsid w:val="00CB5E4A"/>
    <w:rsid w:val="00CB62C7"/>
    <w:rsid w:val="00CC0E73"/>
    <w:rsid w:val="00CC2CC8"/>
    <w:rsid w:val="00CC6D7B"/>
    <w:rsid w:val="00CD0D4C"/>
    <w:rsid w:val="00CD1929"/>
    <w:rsid w:val="00CD3066"/>
    <w:rsid w:val="00CD43F0"/>
    <w:rsid w:val="00CD457C"/>
    <w:rsid w:val="00CD4B20"/>
    <w:rsid w:val="00CD7063"/>
    <w:rsid w:val="00CE0EFB"/>
    <w:rsid w:val="00CE25FB"/>
    <w:rsid w:val="00CE2A16"/>
    <w:rsid w:val="00CE42AE"/>
    <w:rsid w:val="00CE4FFD"/>
    <w:rsid w:val="00CE70B2"/>
    <w:rsid w:val="00CF00C4"/>
    <w:rsid w:val="00CF1410"/>
    <w:rsid w:val="00CF327F"/>
    <w:rsid w:val="00CF7F61"/>
    <w:rsid w:val="00D03FB1"/>
    <w:rsid w:val="00D04EF5"/>
    <w:rsid w:val="00D0602E"/>
    <w:rsid w:val="00D07F15"/>
    <w:rsid w:val="00D10064"/>
    <w:rsid w:val="00D13756"/>
    <w:rsid w:val="00D16B12"/>
    <w:rsid w:val="00D216A7"/>
    <w:rsid w:val="00D218B4"/>
    <w:rsid w:val="00D21AB1"/>
    <w:rsid w:val="00D21D6F"/>
    <w:rsid w:val="00D22526"/>
    <w:rsid w:val="00D22B2C"/>
    <w:rsid w:val="00D22BB6"/>
    <w:rsid w:val="00D23C83"/>
    <w:rsid w:val="00D24D06"/>
    <w:rsid w:val="00D26F21"/>
    <w:rsid w:val="00D272F3"/>
    <w:rsid w:val="00D27483"/>
    <w:rsid w:val="00D315B6"/>
    <w:rsid w:val="00D326A1"/>
    <w:rsid w:val="00D33CAA"/>
    <w:rsid w:val="00D3402A"/>
    <w:rsid w:val="00D351B1"/>
    <w:rsid w:val="00D35369"/>
    <w:rsid w:val="00D36E2B"/>
    <w:rsid w:val="00D4542F"/>
    <w:rsid w:val="00D45C48"/>
    <w:rsid w:val="00D46A0A"/>
    <w:rsid w:val="00D53A65"/>
    <w:rsid w:val="00D57E74"/>
    <w:rsid w:val="00D62F54"/>
    <w:rsid w:val="00D6330D"/>
    <w:rsid w:val="00D710E7"/>
    <w:rsid w:val="00D71DF2"/>
    <w:rsid w:val="00D74F97"/>
    <w:rsid w:val="00D767FE"/>
    <w:rsid w:val="00D812A5"/>
    <w:rsid w:val="00D82B20"/>
    <w:rsid w:val="00D83FC1"/>
    <w:rsid w:val="00D85161"/>
    <w:rsid w:val="00D85C28"/>
    <w:rsid w:val="00D87290"/>
    <w:rsid w:val="00D91AAE"/>
    <w:rsid w:val="00D91C2F"/>
    <w:rsid w:val="00D92AB4"/>
    <w:rsid w:val="00D93F80"/>
    <w:rsid w:val="00D97502"/>
    <w:rsid w:val="00D978BD"/>
    <w:rsid w:val="00DA24DD"/>
    <w:rsid w:val="00DA3ECA"/>
    <w:rsid w:val="00DA5D8F"/>
    <w:rsid w:val="00DB1FD2"/>
    <w:rsid w:val="00DB2DB3"/>
    <w:rsid w:val="00DB6256"/>
    <w:rsid w:val="00DB645B"/>
    <w:rsid w:val="00DC000E"/>
    <w:rsid w:val="00DC0468"/>
    <w:rsid w:val="00DC2E37"/>
    <w:rsid w:val="00DC35E5"/>
    <w:rsid w:val="00DC364A"/>
    <w:rsid w:val="00DC6674"/>
    <w:rsid w:val="00DC7DB2"/>
    <w:rsid w:val="00DD08FA"/>
    <w:rsid w:val="00DD210D"/>
    <w:rsid w:val="00DD2BFF"/>
    <w:rsid w:val="00DD3613"/>
    <w:rsid w:val="00DD3A7B"/>
    <w:rsid w:val="00DD70F9"/>
    <w:rsid w:val="00DE0FDA"/>
    <w:rsid w:val="00DE2936"/>
    <w:rsid w:val="00DE5D66"/>
    <w:rsid w:val="00DF1619"/>
    <w:rsid w:val="00DF1C19"/>
    <w:rsid w:val="00DF2466"/>
    <w:rsid w:val="00DF38AA"/>
    <w:rsid w:val="00DF4846"/>
    <w:rsid w:val="00DF4F11"/>
    <w:rsid w:val="00DF5279"/>
    <w:rsid w:val="00DF5662"/>
    <w:rsid w:val="00DF5846"/>
    <w:rsid w:val="00E00679"/>
    <w:rsid w:val="00E00A73"/>
    <w:rsid w:val="00E06465"/>
    <w:rsid w:val="00E076F0"/>
    <w:rsid w:val="00E07B5B"/>
    <w:rsid w:val="00E106BE"/>
    <w:rsid w:val="00E11040"/>
    <w:rsid w:val="00E13391"/>
    <w:rsid w:val="00E161A7"/>
    <w:rsid w:val="00E164D4"/>
    <w:rsid w:val="00E215A8"/>
    <w:rsid w:val="00E3063F"/>
    <w:rsid w:val="00E33E6A"/>
    <w:rsid w:val="00E35856"/>
    <w:rsid w:val="00E408AA"/>
    <w:rsid w:val="00E41BB9"/>
    <w:rsid w:val="00E43D7F"/>
    <w:rsid w:val="00E45162"/>
    <w:rsid w:val="00E45E6E"/>
    <w:rsid w:val="00E46300"/>
    <w:rsid w:val="00E4660F"/>
    <w:rsid w:val="00E467DA"/>
    <w:rsid w:val="00E46D78"/>
    <w:rsid w:val="00E47CC8"/>
    <w:rsid w:val="00E50225"/>
    <w:rsid w:val="00E51263"/>
    <w:rsid w:val="00E5215D"/>
    <w:rsid w:val="00E529FA"/>
    <w:rsid w:val="00E539BA"/>
    <w:rsid w:val="00E53E34"/>
    <w:rsid w:val="00E5424C"/>
    <w:rsid w:val="00E543C3"/>
    <w:rsid w:val="00E5481E"/>
    <w:rsid w:val="00E5567F"/>
    <w:rsid w:val="00E56309"/>
    <w:rsid w:val="00E6082F"/>
    <w:rsid w:val="00E609E9"/>
    <w:rsid w:val="00E60EA0"/>
    <w:rsid w:val="00E614E7"/>
    <w:rsid w:val="00E64245"/>
    <w:rsid w:val="00E6533F"/>
    <w:rsid w:val="00E67D86"/>
    <w:rsid w:val="00E70B1F"/>
    <w:rsid w:val="00E71811"/>
    <w:rsid w:val="00E7348B"/>
    <w:rsid w:val="00E74344"/>
    <w:rsid w:val="00E76DBE"/>
    <w:rsid w:val="00E81E96"/>
    <w:rsid w:val="00E846DB"/>
    <w:rsid w:val="00E861A7"/>
    <w:rsid w:val="00E92169"/>
    <w:rsid w:val="00E92F4C"/>
    <w:rsid w:val="00EA066C"/>
    <w:rsid w:val="00EA40EE"/>
    <w:rsid w:val="00EA4F2B"/>
    <w:rsid w:val="00EA61DB"/>
    <w:rsid w:val="00EA667F"/>
    <w:rsid w:val="00EA6E51"/>
    <w:rsid w:val="00EA7991"/>
    <w:rsid w:val="00EA7A68"/>
    <w:rsid w:val="00EB2392"/>
    <w:rsid w:val="00EB5AD8"/>
    <w:rsid w:val="00EB60B4"/>
    <w:rsid w:val="00EB7722"/>
    <w:rsid w:val="00EC0BBA"/>
    <w:rsid w:val="00EC27DE"/>
    <w:rsid w:val="00EC2ED5"/>
    <w:rsid w:val="00EC398A"/>
    <w:rsid w:val="00EC4B14"/>
    <w:rsid w:val="00EC6E53"/>
    <w:rsid w:val="00EC73BF"/>
    <w:rsid w:val="00ED0D0B"/>
    <w:rsid w:val="00ED12FC"/>
    <w:rsid w:val="00ED29C2"/>
    <w:rsid w:val="00ED31DB"/>
    <w:rsid w:val="00ED37D3"/>
    <w:rsid w:val="00ED411D"/>
    <w:rsid w:val="00ED586A"/>
    <w:rsid w:val="00ED7E75"/>
    <w:rsid w:val="00EE06EE"/>
    <w:rsid w:val="00EE16C6"/>
    <w:rsid w:val="00EE1B0C"/>
    <w:rsid w:val="00EE2423"/>
    <w:rsid w:val="00EE324D"/>
    <w:rsid w:val="00EE40D1"/>
    <w:rsid w:val="00EE522C"/>
    <w:rsid w:val="00EE5FC4"/>
    <w:rsid w:val="00EE6B3E"/>
    <w:rsid w:val="00EF01C9"/>
    <w:rsid w:val="00EF1647"/>
    <w:rsid w:val="00EF2F66"/>
    <w:rsid w:val="00EF476D"/>
    <w:rsid w:val="00EF5CBD"/>
    <w:rsid w:val="00EF666C"/>
    <w:rsid w:val="00F07798"/>
    <w:rsid w:val="00F1098C"/>
    <w:rsid w:val="00F10BC0"/>
    <w:rsid w:val="00F10E73"/>
    <w:rsid w:val="00F1116A"/>
    <w:rsid w:val="00F12D8B"/>
    <w:rsid w:val="00F157BC"/>
    <w:rsid w:val="00F17028"/>
    <w:rsid w:val="00F22A34"/>
    <w:rsid w:val="00F2473F"/>
    <w:rsid w:val="00F30136"/>
    <w:rsid w:val="00F301B0"/>
    <w:rsid w:val="00F31702"/>
    <w:rsid w:val="00F32AE9"/>
    <w:rsid w:val="00F335B1"/>
    <w:rsid w:val="00F35369"/>
    <w:rsid w:val="00F363FE"/>
    <w:rsid w:val="00F36704"/>
    <w:rsid w:val="00F40BAD"/>
    <w:rsid w:val="00F4496D"/>
    <w:rsid w:val="00F45567"/>
    <w:rsid w:val="00F461D1"/>
    <w:rsid w:val="00F518D0"/>
    <w:rsid w:val="00F52BCD"/>
    <w:rsid w:val="00F53BA3"/>
    <w:rsid w:val="00F548BB"/>
    <w:rsid w:val="00F549A3"/>
    <w:rsid w:val="00F54DF4"/>
    <w:rsid w:val="00F5609B"/>
    <w:rsid w:val="00F56626"/>
    <w:rsid w:val="00F6022C"/>
    <w:rsid w:val="00F63683"/>
    <w:rsid w:val="00F7197D"/>
    <w:rsid w:val="00F764FD"/>
    <w:rsid w:val="00F82094"/>
    <w:rsid w:val="00F84168"/>
    <w:rsid w:val="00F8515D"/>
    <w:rsid w:val="00F865FE"/>
    <w:rsid w:val="00F87367"/>
    <w:rsid w:val="00F90BA8"/>
    <w:rsid w:val="00F92061"/>
    <w:rsid w:val="00F9681B"/>
    <w:rsid w:val="00FA0D4D"/>
    <w:rsid w:val="00FA201F"/>
    <w:rsid w:val="00FB0CD7"/>
    <w:rsid w:val="00FB103F"/>
    <w:rsid w:val="00FB188B"/>
    <w:rsid w:val="00FB2A7C"/>
    <w:rsid w:val="00FB35D6"/>
    <w:rsid w:val="00FB47A7"/>
    <w:rsid w:val="00FC07E4"/>
    <w:rsid w:val="00FC1614"/>
    <w:rsid w:val="00FC3C94"/>
    <w:rsid w:val="00FC4AA5"/>
    <w:rsid w:val="00FC5EB7"/>
    <w:rsid w:val="00FD1874"/>
    <w:rsid w:val="00FD3CD8"/>
    <w:rsid w:val="00FD60F6"/>
    <w:rsid w:val="00FD7CD2"/>
    <w:rsid w:val="00FE6868"/>
    <w:rsid w:val="00FE7093"/>
    <w:rsid w:val="00FE732E"/>
    <w:rsid w:val="00FE750F"/>
    <w:rsid w:val="00FE7E73"/>
    <w:rsid w:val="00FF0CF9"/>
    <w:rsid w:val="00FF2540"/>
    <w:rsid w:val="00FF3614"/>
    <w:rsid w:val="00FF6E72"/>
    <w:rsid w:val="00FF73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B40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B40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789819">
      <w:bodyDiv w:val="1"/>
      <w:marLeft w:val="0"/>
      <w:marRight w:val="0"/>
      <w:marTop w:val="0"/>
      <w:marBottom w:val="0"/>
      <w:divBdr>
        <w:top w:val="none" w:sz="0" w:space="0" w:color="auto"/>
        <w:left w:val="none" w:sz="0" w:space="0" w:color="auto"/>
        <w:bottom w:val="none" w:sz="0" w:space="0" w:color="auto"/>
        <w:right w:val="none" w:sz="0" w:space="0" w:color="auto"/>
      </w:divBdr>
    </w:div>
    <w:div w:id="836269255">
      <w:bodyDiv w:val="1"/>
      <w:marLeft w:val="0"/>
      <w:marRight w:val="0"/>
      <w:marTop w:val="0"/>
      <w:marBottom w:val="0"/>
      <w:divBdr>
        <w:top w:val="none" w:sz="0" w:space="0" w:color="auto"/>
        <w:left w:val="none" w:sz="0" w:space="0" w:color="auto"/>
        <w:bottom w:val="none" w:sz="0" w:space="0" w:color="auto"/>
        <w:right w:val="none" w:sz="0" w:space="0" w:color="auto"/>
      </w:divBdr>
    </w:div>
    <w:div w:id="169295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0859A-C158-4AB2-B162-2DF516FD5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1120</Words>
  <Characters>6166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Ana</cp:lastModifiedBy>
  <cp:revision>3</cp:revision>
  <dcterms:created xsi:type="dcterms:W3CDTF">2013-07-12T17:18:00Z</dcterms:created>
  <dcterms:modified xsi:type="dcterms:W3CDTF">2013-07-12T17:28:00Z</dcterms:modified>
</cp:coreProperties>
</file>